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288BE" w14:textId="4A5B8976" w:rsidR="004D6F48" w:rsidRPr="00F45F8F" w:rsidRDefault="000F03D0" w:rsidP="004D6F48">
      <w:pPr>
        <w:jc w:val="center"/>
        <w:rPr>
          <w:rFonts w:ascii="Century Supra A" w:hAnsi="Century Supra A"/>
          <w:sz w:val="26"/>
          <w:szCs w:val="26"/>
        </w:rPr>
      </w:pPr>
      <w:r>
        <w:rPr>
          <w:rFonts w:ascii="Century Supra A" w:hAnsi="Century Supra A"/>
          <w:noProof/>
          <w:sz w:val="26"/>
          <w:szCs w:val="26"/>
        </w:rPr>
        <w:drawing>
          <wp:inline distT="0" distB="0" distL="0" distR="0" wp14:anchorId="67300A6D" wp14:editId="27F3ADB4">
            <wp:extent cx="9906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61121" w14:textId="357ABF9D" w:rsidR="004D6F48" w:rsidRPr="00F45F8F" w:rsidRDefault="004D6F48" w:rsidP="00063C69">
      <w:pPr>
        <w:spacing w:after="0"/>
        <w:jc w:val="center"/>
        <w:rPr>
          <w:rFonts w:ascii="Century Supra A" w:hAnsi="Century Supra A"/>
          <w:bCs/>
          <w:caps/>
          <w:sz w:val="22"/>
          <w:szCs w:val="22"/>
        </w:rPr>
      </w:pPr>
      <w:r w:rsidRPr="00F45F8F">
        <w:rPr>
          <w:rFonts w:ascii="Century Supra A" w:hAnsi="Century Supra A"/>
          <w:bCs/>
          <w:caps/>
          <w:sz w:val="22"/>
          <w:szCs w:val="22"/>
        </w:rPr>
        <w:t>The Business Court of Texas,</w:t>
      </w:r>
      <w:r w:rsidR="00063C69" w:rsidRPr="00F45F8F">
        <w:rPr>
          <w:rFonts w:ascii="Century Supra A" w:hAnsi="Century Supra A"/>
          <w:bCs/>
          <w:caps/>
          <w:sz w:val="22"/>
          <w:szCs w:val="22"/>
        </w:rPr>
        <w:t xml:space="preserve"> Eighth</w:t>
      </w:r>
      <w:r w:rsidRPr="00F45F8F">
        <w:rPr>
          <w:rFonts w:ascii="Century Supra A" w:hAnsi="Century Supra A"/>
          <w:bCs/>
          <w:caps/>
          <w:sz w:val="22"/>
          <w:szCs w:val="22"/>
        </w:rPr>
        <w:t xml:space="preserve"> Division</w:t>
      </w:r>
    </w:p>
    <w:p w14:paraId="7B2218E1" w14:textId="77777777" w:rsidR="00063C69" w:rsidRPr="00F45F8F" w:rsidRDefault="00063C69" w:rsidP="00063C69">
      <w:pPr>
        <w:spacing w:after="0"/>
        <w:jc w:val="center"/>
        <w:rPr>
          <w:rFonts w:ascii="Century Supra A" w:hAnsi="Century Supra A"/>
          <w:b/>
          <w:bCs/>
          <w:sz w:val="26"/>
          <w:szCs w:val="26"/>
        </w:rPr>
      </w:pPr>
    </w:p>
    <w:tbl>
      <w:tblPr>
        <w:tblW w:w="9733" w:type="dxa"/>
        <w:tblLook w:val="04A0" w:firstRow="1" w:lastRow="0" w:firstColumn="1" w:lastColumn="0" w:noHBand="0" w:noVBand="1"/>
      </w:tblPr>
      <w:tblGrid>
        <w:gridCol w:w="4518"/>
        <w:gridCol w:w="540"/>
        <w:gridCol w:w="4675"/>
      </w:tblGrid>
      <w:tr w:rsidR="004D6F48" w:rsidRPr="00F45F8F" w14:paraId="17D859BB" w14:textId="77777777" w:rsidTr="00A26FD9">
        <w:tc>
          <w:tcPr>
            <w:tcW w:w="4518" w:type="dxa"/>
            <w:shd w:val="clear" w:color="auto" w:fill="auto"/>
          </w:tcPr>
          <w:p w14:paraId="6EDBF30E" w14:textId="77777777" w:rsidR="004D6F48" w:rsidRPr="00F45F8F" w:rsidRDefault="004D6F48" w:rsidP="000750FB">
            <w:pPr>
              <w:spacing w:after="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[Plaintiff(s)],</w:t>
            </w:r>
          </w:p>
          <w:p w14:paraId="070858A6" w14:textId="77777777" w:rsidR="004D6F48" w:rsidRPr="00F45F8F" w:rsidRDefault="004D6F48" w:rsidP="000750FB">
            <w:pPr>
              <w:spacing w:after="0"/>
              <w:ind w:left="705"/>
              <w:jc w:val="left"/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  <w:t>Plaintiff(s),</w:t>
            </w:r>
          </w:p>
          <w:p w14:paraId="663D95D2" w14:textId="77777777" w:rsidR="004D6F48" w:rsidRPr="00F45F8F" w:rsidRDefault="004D6F48" w:rsidP="000750FB">
            <w:pPr>
              <w:spacing w:after="0"/>
              <w:ind w:hanging="15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v.</w:t>
            </w:r>
          </w:p>
          <w:p w14:paraId="63A977FF" w14:textId="77777777" w:rsidR="004D6F48" w:rsidRPr="00F45F8F" w:rsidRDefault="004D6F48" w:rsidP="000750FB">
            <w:pPr>
              <w:spacing w:after="0"/>
              <w:ind w:hanging="15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[Defendant(s)],</w:t>
            </w:r>
          </w:p>
          <w:p w14:paraId="776D6240" w14:textId="77777777" w:rsidR="004D6F48" w:rsidRPr="00F45F8F" w:rsidRDefault="004D6F48" w:rsidP="000750FB">
            <w:pPr>
              <w:spacing w:after="0"/>
              <w:ind w:left="706"/>
              <w:jc w:val="left"/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  <w:t>Defendant(s)</w:t>
            </w:r>
            <w:r w:rsidR="00A26FD9" w:rsidRPr="00F45F8F"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3A5F31AE" w14:textId="77777777" w:rsidR="004D6F48" w:rsidRPr="00F45F8F" w:rsidRDefault="004D6F48" w:rsidP="00297BA4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  <w:p w14:paraId="7101A092" w14:textId="77777777" w:rsidR="004D6F48" w:rsidRPr="00F45F8F" w:rsidRDefault="004D6F48" w:rsidP="00297BA4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  <w:p w14:paraId="667A025D" w14:textId="77777777" w:rsidR="004D6F48" w:rsidRPr="00F45F8F" w:rsidRDefault="004D6F48" w:rsidP="00297BA4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  <w:p w14:paraId="71B99767" w14:textId="77777777" w:rsidR="004D6F48" w:rsidRPr="00F45F8F" w:rsidRDefault="004D6F48" w:rsidP="00297BA4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  <w:p w14:paraId="77F240A7" w14:textId="77777777" w:rsidR="004D6F48" w:rsidRPr="00F45F8F" w:rsidRDefault="004D6F48" w:rsidP="00A26FD9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</w:tc>
        <w:tc>
          <w:tcPr>
            <w:tcW w:w="4675" w:type="dxa"/>
            <w:shd w:val="clear" w:color="auto" w:fill="auto"/>
          </w:tcPr>
          <w:p w14:paraId="23A738C9" w14:textId="77777777" w:rsidR="004D6F48" w:rsidRPr="00F45F8F" w:rsidRDefault="004D6F48" w:rsidP="00297BA4">
            <w:pPr>
              <w:spacing w:after="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</w:p>
          <w:p w14:paraId="613A4312" w14:textId="77777777" w:rsidR="004D6F48" w:rsidRPr="00F45F8F" w:rsidRDefault="004D6F48" w:rsidP="00297BA4">
            <w:pPr>
              <w:spacing w:after="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</w:p>
          <w:p w14:paraId="132BF165" w14:textId="77777777" w:rsidR="004D6F48" w:rsidRPr="00F45F8F" w:rsidRDefault="004D6F48" w:rsidP="00297BA4">
            <w:pPr>
              <w:spacing w:after="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Cause No. [</w:t>
            </w:r>
            <w:r>
              <w:rPr>
                <w:rFonts w:ascii="Century Supra A" w:eastAsia="Calibri" w:hAnsi="Century Supra A"/>
                <w:sz w:val="26"/>
                <w:szCs w:val="26"/>
                <w:highlight w:val="lightGray"/>
              </w:rPr>
              <w:t>______________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>]</w:t>
            </w:r>
          </w:p>
        </w:tc>
      </w:tr>
    </w:tbl>
    <w:p w14:paraId="61F70A96" w14:textId="77777777" w:rsidR="004D6F48" w:rsidRPr="00F45F8F" w:rsidRDefault="004D6F48" w:rsidP="004D6F48">
      <w:pPr>
        <w:jc w:val="center"/>
        <w:rPr>
          <w:rFonts w:ascii="Century Supra A" w:hAnsi="Century Supra A"/>
          <w:sz w:val="26"/>
          <w:szCs w:val="26"/>
        </w:rPr>
      </w:pPr>
      <w:r w:rsidRPr="00F45F8F">
        <w:rPr>
          <w:rFonts w:ascii="Times New Roman" w:hAnsi="Times New Roman"/>
          <w:sz w:val="26"/>
          <w:szCs w:val="26"/>
        </w:rPr>
        <w:t>═══════════════════════════════════════</w:t>
      </w:r>
    </w:p>
    <w:p w14:paraId="5D5E0A69" w14:textId="0C22F9BC" w:rsidR="004D6F48" w:rsidRPr="00904E79" w:rsidRDefault="00867432" w:rsidP="004D6F48">
      <w:pPr>
        <w:jc w:val="center"/>
        <w:rPr>
          <w:rFonts w:ascii="Century Supra A" w:hAnsi="Century Supra A"/>
          <w:caps/>
          <w:sz w:val="26"/>
          <w:szCs w:val="26"/>
        </w:rPr>
      </w:pPr>
      <w:r w:rsidRPr="00904E79">
        <w:rPr>
          <w:rFonts w:ascii="Century Supra A" w:hAnsi="Century Supra A"/>
          <w:b/>
          <w:bCs/>
          <w:caps/>
          <w:sz w:val="26"/>
          <w:szCs w:val="26"/>
        </w:rPr>
        <w:t xml:space="preserve">Proposed </w:t>
      </w:r>
      <w:r w:rsidR="00225E43" w:rsidRPr="00904E79">
        <w:rPr>
          <w:rFonts w:ascii="Century Supra A" w:hAnsi="Century Supra A"/>
          <w:b/>
          <w:bCs/>
          <w:caps/>
          <w:sz w:val="26"/>
          <w:szCs w:val="26"/>
        </w:rPr>
        <w:t xml:space="preserve">Scheduling </w:t>
      </w:r>
      <w:r w:rsidR="004D6F48" w:rsidRPr="00904E79">
        <w:rPr>
          <w:rFonts w:ascii="Century Supra A" w:hAnsi="Century Supra A"/>
          <w:b/>
          <w:bCs/>
          <w:caps/>
          <w:sz w:val="26"/>
          <w:szCs w:val="26"/>
        </w:rPr>
        <w:t>Order</w:t>
      </w:r>
    </w:p>
    <w:p w14:paraId="7BC249E3" w14:textId="77777777" w:rsidR="00480A18" w:rsidRPr="00F45F8F" w:rsidRDefault="004D6F48" w:rsidP="00DC6C6E">
      <w:pPr>
        <w:spacing w:after="240"/>
        <w:jc w:val="center"/>
        <w:rPr>
          <w:rFonts w:ascii="Century Supra A" w:hAnsi="Century Supra A"/>
          <w:sz w:val="26"/>
          <w:szCs w:val="26"/>
        </w:rPr>
      </w:pPr>
      <w:r w:rsidRPr="00F45F8F">
        <w:rPr>
          <w:rFonts w:ascii="Times New Roman" w:hAnsi="Times New Roman"/>
          <w:sz w:val="26"/>
          <w:szCs w:val="26"/>
        </w:rPr>
        <w:t>═══════════════════════════════════════</w:t>
      </w:r>
    </w:p>
    <w:p w14:paraId="6799914F" w14:textId="01CA0CE7" w:rsidR="00B94F01" w:rsidRPr="00F45F8F" w:rsidRDefault="00225E43" w:rsidP="00B94F01">
      <w:pPr>
        <w:rPr>
          <w:rFonts w:ascii="Century Supra A" w:hAnsi="Century Supra A"/>
          <w:sz w:val="26"/>
          <w:szCs w:val="26"/>
        </w:rPr>
      </w:pPr>
      <w:r w:rsidRPr="00F45F8F">
        <w:rPr>
          <w:rFonts w:ascii="Century Supra A" w:hAnsi="Century Supra A"/>
          <w:sz w:val="26"/>
          <w:szCs w:val="26"/>
        </w:rPr>
        <w:tab/>
      </w:r>
      <w:r w:rsidR="00AD04EB" w:rsidRPr="00F45F8F">
        <w:rPr>
          <w:rFonts w:ascii="Century Supra A" w:hAnsi="Century Supra A"/>
          <w:sz w:val="26"/>
          <w:szCs w:val="26"/>
        </w:rPr>
        <w:t>Unless otherwise specified, t</w:t>
      </w:r>
      <w:r w:rsidR="00B94F01" w:rsidRPr="00F45F8F">
        <w:rPr>
          <w:rFonts w:ascii="Century Supra A" w:hAnsi="Century Supra A"/>
          <w:sz w:val="26"/>
          <w:szCs w:val="26"/>
        </w:rPr>
        <w:t xml:space="preserve">his action shall be governed by the laws of </w:t>
      </w:r>
      <w:r w:rsidR="00F2009F">
        <w:rPr>
          <w:rFonts w:ascii="Century Supra A" w:hAnsi="Century Supra A"/>
          <w:sz w:val="26"/>
          <w:szCs w:val="26"/>
        </w:rPr>
        <w:t xml:space="preserve">the </w:t>
      </w:r>
      <w:r w:rsidR="00AD04EB" w:rsidRPr="00F45F8F">
        <w:rPr>
          <w:rFonts w:ascii="Century Supra A" w:hAnsi="Century Supra A"/>
          <w:sz w:val="26"/>
          <w:szCs w:val="26"/>
        </w:rPr>
        <w:t>State of Texas, the Texas Rules of Civil Procedure (TRCP), and the Business Court Local Rules</w:t>
      </w:r>
      <w:r w:rsidR="007D2679" w:rsidRPr="00F45F8F">
        <w:rPr>
          <w:rFonts w:ascii="Century Supra A" w:hAnsi="Century Supra A"/>
          <w:sz w:val="26"/>
          <w:szCs w:val="26"/>
        </w:rPr>
        <w:t xml:space="preserve"> (BCLR)</w:t>
      </w:r>
      <w:r w:rsidR="00AD04EB" w:rsidRPr="00F45F8F">
        <w:rPr>
          <w:rFonts w:ascii="Century Supra A" w:hAnsi="Century Supra A"/>
          <w:sz w:val="26"/>
          <w:szCs w:val="26"/>
        </w:rPr>
        <w:t>. This order supplements, rather than displaces, these laws and rules, except the deadlines and discovery limits specified below control over any conflicting deadlines or limits in the TRCP.</w:t>
      </w:r>
    </w:p>
    <w:p w14:paraId="3348DD45" w14:textId="1374DF97" w:rsidR="007675BE" w:rsidRDefault="00F8366F" w:rsidP="007675BE">
      <w:pPr>
        <w:snapToGrid w:val="0"/>
        <w:spacing w:after="240"/>
        <w:ind w:firstLine="720"/>
        <w:rPr>
          <w:rFonts w:ascii="Century Supra A" w:hAnsi="Century Supra A"/>
          <w:sz w:val="26"/>
          <w:szCs w:val="26"/>
        </w:rPr>
      </w:pPr>
      <w:r w:rsidRPr="00F45F8F">
        <w:rPr>
          <w:rFonts w:ascii="Century Supra A" w:hAnsi="Century Supra A"/>
          <w:sz w:val="26"/>
          <w:szCs w:val="26"/>
        </w:rPr>
        <w:t xml:space="preserve">If any deadline falls on a </w:t>
      </w:r>
      <w:r w:rsidR="00AF340D" w:rsidRPr="00F45F8F">
        <w:rPr>
          <w:rFonts w:ascii="Century Supra A" w:hAnsi="Century Supra A"/>
          <w:sz w:val="26"/>
          <w:szCs w:val="26"/>
        </w:rPr>
        <w:t>c</w:t>
      </w:r>
      <w:r w:rsidRPr="00F45F8F">
        <w:rPr>
          <w:rFonts w:ascii="Century Supra A" w:hAnsi="Century Supra A"/>
          <w:sz w:val="26"/>
          <w:szCs w:val="26"/>
        </w:rPr>
        <w:t>ourt holiday, the effective date will be the next non-holiday business day.</w:t>
      </w:r>
      <w:r w:rsidR="004B400A" w:rsidRPr="00F45F8F">
        <w:rPr>
          <w:rFonts w:ascii="Century Supra A" w:hAnsi="Century Supra A"/>
          <w:sz w:val="26"/>
          <w:szCs w:val="26"/>
        </w:rPr>
        <w:t xml:space="preserve"> Any matter not expressly addressed by this order </w:t>
      </w:r>
      <w:r w:rsidR="00AD04EB" w:rsidRPr="00F45F8F">
        <w:rPr>
          <w:rFonts w:ascii="Century Supra A" w:hAnsi="Century Supra A"/>
          <w:sz w:val="26"/>
          <w:szCs w:val="26"/>
        </w:rPr>
        <w:t>is</w:t>
      </w:r>
      <w:r w:rsidR="004B400A" w:rsidRPr="00F45F8F">
        <w:rPr>
          <w:rFonts w:ascii="Century Supra A" w:hAnsi="Century Supra A"/>
          <w:sz w:val="26"/>
          <w:szCs w:val="26"/>
        </w:rPr>
        <w:t xml:space="preserve"> governed by the TRCP.</w:t>
      </w:r>
    </w:p>
    <w:p w14:paraId="7145EDD4" w14:textId="77777777" w:rsidR="00923DC9" w:rsidRPr="00923DC9" w:rsidRDefault="00923DC9" w:rsidP="00923DC9">
      <w:pPr>
        <w:snapToGrid w:val="0"/>
        <w:spacing w:after="240"/>
        <w:ind w:firstLine="720"/>
        <w:rPr>
          <w:rFonts w:ascii="Century Supra A" w:hAnsi="Century Supra A"/>
          <w:sz w:val="26"/>
          <w:szCs w:val="26"/>
        </w:rPr>
      </w:pPr>
      <w:r w:rsidRPr="00923DC9">
        <w:rPr>
          <w:rFonts w:ascii="Century Supra A" w:hAnsi="Century Supra A"/>
          <w:sz w:val="26"/>
          <w:szCs w:val="26"/>
        </w:rPr>
        <w:t>Deadlines marked with an asterisk (*) may be modified by agreement of the parties through a Rule 11 agreement. All other deadlines may be extended only by motion and upon a showing of good cause.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090"/>
      </w:tblGrid>
      <w:tr w:rsidR="00E66749" w:rsidRPr="00F45F8F" w14:paraId="53C1B6D5" w14:textId="77777777" w:rsidTr="00297BA4">
        <w:tc>
          <w:tcPr>
            <w:tcW w:w="1278" w:type="dxa"/>
            <w:shd w:val="clear" w:color="auto" w:fill="auto"/>
          </w:tcPr>
          <w:p w14:paraId="0D5D7377" w14:textId="77777777" w:rsidR="00CD5772" w:rsidRPr="00F45F8F" w:rsidRDefault="00CD5772" w:rsidP="003759B9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55235613" w14:textId="77777777" w:rsidR="00CD5772" w:rsidRPr="00F45F8F" w:rsidRDefault="00CD5772" w:rsidP="00297BA4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J</w:t>
            </w:r>
            <w:r w:rsidR="00FC4506" w:rsidRPr="00F45F8F">
              <w:rPr>
                <w:rFonts w:ascii="Century Supra A" w:hAnsi="Century Supra A"/>
                <w:sz w:val="26"/>
                <w:szCs w:val="26"/>
              </w:rPr>
              <w:t>oinder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</w:t>
            </w:r>
          </w:p>
          <w:p w14:paraId="47A9F96F" w14:textId="6E7F5751" w:rsidR="00931F96" w:rsidRPr="00F45F8F" w:rsidRDefault="00CD5772" w:rsidP="00931F96">
            <w:pPr>
              <w:snapToGrid w:val="0"/>
              <w:ind w:left="-14" w:firstLine="14"/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All parties must be added and served by this date. </w:t>
            </w:r>
          </w:p>
          <w:p w14:paraId="5ED2EBB1" w14:textId="52B78BBD" w:rsidR="00931F96" w:rsidRPr="00F45F8F" w:rsidRDefault="00CD5772" w:rsidP="00931F96">
            <w:pPr>
              <w:snapToGrid w:val="0"/>
              <w:ind w:left="-14" w:firstLine="14"/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>T</w:t>
            </w:r>
            <w:r w:rsidR="00700F18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he party causing the joinder must provide a copy of the </w:t>
            </w:r>
            <w:r w:rsidR="00690071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>scheduling</w:t>
            </w:r>
            <w:r w:rsidR="00700F18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 order at the time of service.</w:t>
            </w:r>
            <w:r w:rsidR="00931F96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 </w:t>
            </w:r>
          </w:p>
          <w:p w14:paraId="5CA8D35E" w14:textId="374F0BAA" w:rsidR="00CD5772" w:rsidRPr="00F45F8F" w:rsidRDefault="00931F96" w:rsidP="00931F96">
            <w:pPr>
              <w:snapToGrid w:val="0"/>
              <w:ind w:left="-14" w:firstLine="14"/>
              <w:rPr>
                <w:rFonts w:ascii="Century Supra A" w:eastAsia="Calibri" w:hAnsi="Century Supra A"/>
                <w:color w:val="000000"/>
                <w:spacing w:val="-6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>All joinder must comply with TRCP 37</w:t>
            </w:r>
            <w:r w:rsidR="001F4E72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>–</w:t>
            </w:r>
            <w:r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>41.</w:t>
            </w:r>
            <w:r w:rsidR="001F4E72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 </w:t>
            </w:r>
          </w:p>
        </w:tc>
      </w:tr>
      <w:tr w:rsidR="00FF7294" w:rsidRPr="00F45F8F" w14:paraId="333ED89D" w14:textId="77777777" w:rsidTr="00297BA4">
        <w:tc>
          <w:tcPr>
            <w:tcW w:w="1278" w:type="dxa"/>
            <w:shd w:val="clear" w:color="auto" w:fill="auto"/>
          </w:tcPr>
          <w:p w14:paraId="79184074" w14:textId="14DAC500" w:rsidR="00FF7294" w:rsidRDefault="00FF7294" w:rsidP="00FF7294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6647C4E2" w14:textId="15A19F3D" w:rsidR="00FF7294" w:rsidRPr="00F45F8F" w:rsidRDefault="00FF7294" w:rsidP="00FF7294">
            <w:pPr>
              <w:rPr>
                <w:rFonts w:ascii="Century Supra A" w:hAnsi="Century Supra A"/>
                <w:b/>
                <w:bCs/>
                <w:sz w:val="26"/>
                <w:szCs w:val="26"/>
              </w:rPr>
            </w:pPr>
            <w:r w:rsidRPr="00F45F8F">
              <w:rPr>
                <w:rFonts w:ascii="Century Supra A" w:hAnsi="Century Supra A"/>
                <w:b/>
                <w:bCs/>
                <w:sz w:val="26"/>
                <w:szCs w:val="26"/>
              </w:rPr>
              <w:t>Pleading Amendments</w:t>
            </w:r>
          </w:p>
          <w:p w14:paraId="7DED3D47" w14:textId="48D78EFF" w:rsidR="00FF7294" w:rsidRPr="00F45F8F" w:rsidRDefault="00F40902" w:rsidP="00FF7294">
            <w:pPr>
              <w:snapToGrid w:val="0"/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>A</w:t>
            </w:r>
            <w:r w:rsidR="00FF729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ll pleading amendments must be filed by this date. If a party adds a claim or cause of action on </w:t>
            </w:r>
            <w:r w:rsidR="00AF70E8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this deadline </w:t>
            </w:r>
            <w:r w:rsidR="00FF729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or </w:t>
            </w:r>
            <w:r w:rsidR="00250BCD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within </w:t>
            </w:r>
            <w:r w:rsidR="001C1380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>seven days before</w:t>
            </w:r>
            <w:r w:rsidR="00FF729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, other parties shall have seven days to add </w:t>
            </w: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responsive </w:t>
            </w:r>
            <w:r w:rsidR="00FF729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lastRenderedPageBreak/>
              <w:t>pleadings.</w:t>
            </w:r>
          </w:p>
          <w:p w14:paraId="326DA424" w14:textId="3909123C" w:rsidR="00FF7294" w:rsidRPr="00F45F8F" w:rsidRDefault="00FF7294" w:rsidP="00FF7294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These </w:t>
            </w: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deadlines are outer limits and do not relieve the parties of any obligation to act promptly or timely</w:t>
            </w:r>
            <w:r w:rsidRPr="00F45F8F">
              <w:rPr>
                <w:rFonts w:ascii="Century Supra A" w:eastAsia="Calibri" w:hAnsi="Century Supra A"/>
                <w:color w:val="000000"/>
                <w:spacing w:val="1"/>
                <w:sz w:val="26"/>
                <w:szCs w:val="26"/>
              </w:rPr>
              <w:t>.</w:t>
            </w:r>
          </w:p>
        </w:tc>
      </w:tr>
      <w:tr w:rsidR="00FF7294" w:rsidRPr="00F45F8F" w14:paraId="2AD4220C" w14:textId="77777777" w:rsidTr="00297BA4">
        <w:tc>
          <w:tcPr>
            <w:tcW w:w="1278" w:type="dxa"/>
            <w:shd w:val="clear" w:color="auto" w:fill="auto"/>
          </w:tcPr>
          <w:p w14:paraId="53121C3C" w14:textId="315A44A5" w:rsidR="00FF7294" w:rsidRDefault="00FF7294" w:rsidP="00FF7294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  <w:lastRenderedPageBreak/>
              <w:t>[date]</w:t>
            </w:r>
          </w:p>
        </w:tc>
        <w:tc>
          <w:tcPr>
            <w:tcW w:w="8298" w:type="dxa"/>
            <w:shd w:val="clear" w:color="auto" w:fill="auto"/>
          </w:tcPr>
          <w:p w14:paraId="60C150D5" w14:textId="7346F775" w:rsidR="001A50CC" w:rsidRPr="00F45F8F" w:rsidRDefault="001A50CC" w:rsidP="00FF7294">
            <w:pPr>
              <w:rPr>
                <w:rFonts w:ascii="Century Supra A" w:hAnsi="Century Supra A"/>
                <w:b/>
                <w:bCs/>
                <w:sz w:val="26"/>
                <w:szCs w:val="26"/>
              </w:rPr>
            </w:pPr>
            <w:r w:rsidRPr="00F45F8F">
              <w:rPr>
                <w:rFonts w:ascii="Century Supra A" w:hAnsi="Century Supra A"/>
                <w:b/>
                <w:bCs/>
                <w:sz w:val="26"/>
                <w:szCs w:val="26"/>
              </w:rPr>
              <w:t>Governing Law</w:t>
            </w:r>
          </w:p>
          <w:p w14:paraId="78D1FC97" w14:textId="04903BEB" w:rsidR="00FF7294" w:rsidRPr="00F45F8F" w:rsidRDefault="00700DE9" w:rsidP="00FF7294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Deadline to file any motion to determine the applicability of another jurisdiction’s laws. </w:t>
            </w:r>
          </w:p>
        </w:tc>
      </w:tr>
      <w:tr w:rsidR="007C520E" w:rsidRPr="00F45F8F" w14:paraId="4BF5973B" w14:textId="77777777" w:rsidTr="00297BA4">
        <w:tc>
          <w:tcPr>
            <w:tcW w:w="1278" w:type="dxa"/>
            <w:shd w:val="clear" w:color="auto" w:fill="auto"/>
          </w:tcPr>
          <w:p w14:paraId="5B393468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3C9C5A24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53AE12E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sz w:val="26"/>
                <w:szCs w:val="26"/>
                <w:highlight w:val="lightGray"/>
              </w:rPr>
              <w:t>[# hrs.]</w:t>
            </w:r>
          </w:p>
          <w:p w14:paraId="53CACD9B" w14:textId="258B5759" w:rsidR="007C520E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sz w:val="26"/>
                <w:szCs w:val="26"/>
                <w:highlight w:val="lightGray"/>
              </w:rPr>
              <w:t>[#]</w:t>
            </w:r>
          </w:p>
        </w:tc>
        <w:tc>
          <w:tcPr>
            <w:tcW w:w="8298" w:type="dxa"/>
            <w:shd w:val="clear" w:color="auto" w:fill="auto"/>
          </w:tcPr>
          <w:p w14:paraId="6DA2BD9B" w14:textId="1434C8C8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Discovery Limitations</w:t>
            </w:r>
            <w:r w:rsidR="00E345D4">
              <w:rPr>
                <w:rFonts w:ascii="Century Supra A" w:hAnsi="Century Supra A"/>
                <w:sz w:val="26"/>
                <w:szCs w:val="26"/>
              </w:rPr>
              <w:t>*</w:t>
            </w:r>
          </w:p>
          <w:p w14:paraId="1750E011" w14:textId="77777777" w:rsidR="007C520E" w:rsidRPr="00F45F8F" w:rsidRDefault="007C520E" w:rsidP="007C520E">
            <w:pPr>
              <w:snapToGrid w:val="0"/>
              <w:ind w:left="-14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The following discovery limits apply:</w:t>
            </w:r>
          </w:p>
          <w:p w14:paraId="14B0B04A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Each side is limited to this number of total hours for oral depositions.</w:t>
            </w:r>
          </w:p>
          <w:p w14:paraId="263EA2BB" w14:textId="5967BEA1" w:rsidR="007C520E" w:rsidRPr="00F45F8F" w:rsidRDefault="007C520E" w:rsidP="007C520E">
            <w:pPr>
              <w:rPr>
                <w:rFonts w:ascii="Century Supra A" w:hAnsi="Century Supra A"/>
                <w:b/>
                <w:bCs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Each party is limited to serving this number of interrogatories on any other party.</w:t>
            </w:r>
          </w:p>
        </w:tc>
      </w:tr>
      <w:tr w:rsidR="007C520E" w:rsidRPr="00F45F8F" w14:paraId="5AC70B66" w14:textId="77777777" w:rsidTr="00297BA4">
        <w:tc>
          <w:tcPr>
            <w:tcW w:w="1278" w:type="dxa"/>
            <w:shd w:val="clear" w:color="auto" w:fill="auto"/>
          </w:tcPr>
          <w:p w14:paraId="6E424C8E" w14:textId="28B39147" w:rsidR="007C520E" w:rsidRPr="00F45F8F" w:rsidRDefault="007C520E" w:rsidP="009845A6">
            <w:pPr>
              <w:snapToGrid w:val="0"/>
              <w:spacing w:before="120" w:after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07FD5EE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433EC621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5A43C272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74876847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09B855F8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7FC6CD67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z w:val="26"/>
                <w:szCs w:val="26"/>
                <w:highlight w:val="lightGray"/>
              </w:rPr>
            </w:pPr>
          </w:p>
          <w:p w14:paraId="627923A2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08C2DF1C" w14:textId="48074E70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Electronically Stored Information (ESI) Protocol</w:t>
            </w:r>
            <w:r w:rsidR="00E345D4">
              <w:rPr>
                <w:rFonts w:ascii="Century Supra A" w:hAnsi="Century Supra A"/>
                <w:sz w:val="26"/>
                <w:szCs w:val="26"/>
              </w:rPr>
              <w:t>*</w:t>
            </w:r>
          </w:p>
          <w:p w14:paraId="36F5DDDC" w14:textId="6DEE3C95" w:rsidR="007C520E" w:rsidRPr="00F45F8F" w:rsidRDefault="007C520E" w:rsidP="007C520E">
            <w:pPr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By this date, parties must meet and confer on an ESI protocol, including the parameters for preserv</w:t>
            </w:r>
            <w:r w:rsidR="00B16448" w:rsidRPr="00F45F8F">
              <w:rPr>
                <w:rFonts w:ascii="Century Supra A" w:eastAsia="Calibri" w:hAnsi="Century Supra A"/>
                <w:sz w:val="26"/>
                <w:szCs w:val="26"/>
              </w:rPr>
              <w:t>ing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ESI and the procedures the parties will </w:t>
            </w:r>
            <w:r w:rsidR="00DF591D" w:rsidRPr="00F45F8F">
              <w:rPr>
                <w:rFonts w:ascii="Century Supra A" w:eastAsia="Calibri" w:hAnsi="Century Supra A"/>
                <w:sz w:val="26"/>
                <w:szCs w:val="26"/>
              </w:rPr>
              <w:t>use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to determine search terms and methodology for identifying ESI in response to discovery. </w:t>
            </w:r>
          </w:p>
          <w:p w14:paraId="114D0C9A" w14:textId="77777777" w:rsidR="007C520E" w:rsidRPr="00F45F8F" w:rsidRDefault="007C520E" w:rsidP="007C520E">
            <w:pPr>
              <w:rPr>
                <w:rFonts w:ascii="Century Supra A" w:eastAsia="Calibri" w:hAnsi="Century Supra A"/>
                <w:color w:val="000000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>Absent agreement, search terms returning more than 250 megabytes of data are presumptively overbroad.</w:t>
            </w:r>
          </w:p>
          <w:p w14:paraId="5C58EE9E" w14:textId="2CA973BE" w:rsidR="007C520E" w:rsidRPr="00F45F8F" w:rsidRDefault="007C520E" w:rsidP="00132059">
            <w:pPr>
              <w:rPr>
                <w:rFonts w:ascii="Century Supra A" w:hAnsi="Century Supra A"/>
                <w:b/>
                <w:bCs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 xml:space="preserve">ESI will be produced in </w:t>
            </w:r>
            <w:r>
              <w:rPr>
                <w:rFonts w:ascii="Century Supra A" w:eastAsia="Calibri" w:hAnsi="Century Supra A"/>
                <w:b/>
                <w:bCs/>
                <w:color w:val="000000"/>
                <w:sz w:val="26"/>
                <w:szCs w:val="26"/>
                <w:highlight w:val="lightGray"/>
              </w:rPr>
              <w:t>[PDF/ TIFF/ Native/ Paper]</w:t>
            </w:r>
            <w:r w:rsidRPr="00F45F8F">
              <w:rPr>
                <w:rFonts w:ascii="Century Supra A" w:eastAsia="Calibri" w:hAnsi="Century Supra A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 xml:space="preserve">format, except when the parties agree </w:t>
            </w:r>
            <w:r w:rsidR="00066EAB"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>otherwise</w:t>
            </w:r>
            <w:r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>. Except as necessitated by the chosen format, the parties will not degrade the searchability of documents as part of the production process.</w:t>
            </w:r>
          </w:p>
        </w:tc>
      </w:tr>
      <w:tr w:rsidR="007C520E" w:rsidRPr="00F45F8F" w14:paraId="3D8C8137" w14:textId="77777777" w:rsidTr="00297BA4">
        <w:tc>
          <w:tcPr>
            <w:tcW w:w="1278" w:type="dxa"/>
            <w:shd w:val="clear" w:color="auto" w:fill="auto"/>
          </w:tcPr>
          <w:p w14:paraId="498FE29E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</w:p>
          <w:p w14:paraId="7F22FCB7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88B7942" w14:textId="77777777" w:rsidR="0039340C" w:rsidRDefault="0039340C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7C45EA12" w14:textId="77777777" w:rsidR="007C520E" w:rsidRPr="00F45F8F" w:rsidRDefault="007C520E" w:rsidP="007C520E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21319C78" w14:textId="77777777" w:rsidR="007C520E" w:rsidRDefault="007C520E" w:rsidP="007C520E">
            <w:pPr>
              <w:snapToGrid w:val="0"/>
              <w:spacing w:after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074C58AD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16F2975A" w14:textId="77777777" w:rsidR="007C520E" w:rsidRPr="00F45F8F" w:rsidRDefault="007C520E" w:rsidP="007C520E">
            <w:pPr>
              <w:snapToGrid w:val="0"/>
              <w:spacing w:after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73A51B81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201D0C77" w14:textId="5B58F7DA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Expert Witness Designations</w:t>
            </w:r>
            <w:r w:rsidR="00E345D4">
              <w:rPr>
                <w:rFonts w:ascii="Century Supra A" w:hAnsi="Century Supra A"/>
                <w:sz w:val="26"/>
                <w:szCs w:val="26"/>
              </w:rPr>
              <w:t>*</w:t>
            </w:r>
          </w:p>
          <w:p w14:paraId="1573FA97" w14:textId="147E6BC1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 xml:space="preserve">Expert witness designations must include the information listed in </w:t>
            </w:r>
            <w:r w:rsidR="00C312E6"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TRCP</w:t>
            </w: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 xml:space="preserve"> 194.2(f). Failure to timely respond will be governed by </w:t>
            </w:r>
            <w:r w:rsidR="00C312E6"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TRCP</w:t>
            </w: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 xml:space="preserve"> 193.6.</w:t>
            </w:r>
          </w:p>
          <w:p w14:paraId="1D611FAA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By this date, parties seeking affirmative relief must serve their expert witness designations.</w:t>
            </w:r>
          </w:p>
          <w:p w14:paraId="32088810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By this date, all other parties must serve their expert witness designations.</w:t>
            </w:r>
          </w:p>
          <w:p w14:paraId="0C589659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By this date, all parties must designate any rebuttal experts.</w:t>
            </w:r>
          </w:p>
        </w:tc>
      </w:tr>
      <w:tr w:rsidR="007C520E" w:rsidRPr="00F45F8F" w14:paraId="10EABC57" w14:textId="77777777" w:rsidTr="00297BA4">
        <w:tc>
          <w:tcPr>
            <w:tcW w:w="1278" w:type="dxa"/>
            <w:shd w:val="clear" w:color="auto" w:fill="auto"/>
          </w:tcPr>
          <w:p w14:paraId="5245ED40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FAB9B05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56708CC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6CC96F38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6BCB3E1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104D6E05" w14:textId="77777777" w:rsidR="007C520E" w:rsidRDefault="007C520E" w:rsidP="007C520E">
            <w:pPr>
              <w:snapToGrid w:val="0"/>
              <w:spacing w:before="18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58280E6" w14:textId="77777777" w:rsidR="007C520E" w:rsidRDefault="007C520E" w:rsidP="007C520E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7A97AB2D" w14:textId="2E1FA5EE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  <w:lastRenderedPageBreak/>
              <w:t>Expert Witness Depositions</w:t>
            </w:r>
            <w:r w:rsidR="00E345D4"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  <w:t>*</w:t>
            </w:r>
          </w:p>
          <w:p w14:paraId="278EE352" w14:textId="1882E993" w:rsidR="007C520E" w:rsidRPr="00F45F8F" w:rsidRDefault="007C520E" w:rsidP="007C520E">
            <w:pPr>
              <w:pStyle w:val="Heading2"/>
              <w:rPr>
                <w:rFonts w:ascii="Century Supra A" w:hAnsi="Century Supra A"/>
                <w:b w:val="0"/>
                <w:bCs w:val="0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lastRenderedPageBreak/>
              <w:t>A party seeking affirmative relief must make its experts available for deposition by the following deadlines:</w:t>
            </w:r>
          </w:p>
          <w:p w14:paraId="2FB391F0" w14:textId="77777777" w:rsidR="007C520E" w:rsidRPr="00F45F8F" w:rsidRDefault="007C520E" w:rsidP="007C520E">
            <w:pPr>
              <w:pStyle w:val="Heading2"/>
              <w:spacing w:before="0"/>
              <w:ind w:left="156"/>
              <w:rPr>
                <w:rFonts w:ascii="Century Supra A" w:hAnsi="Century Supra A"/>
                <w:b w:val="0"/>
                <w:bCs w:val="0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if no expert report is furnished under TRCP 195.3, or</w:t>
            </w:r>
          </w:p>
          <w:p w14:paraId="16F2732A" w14:textId="77777777" w:rsidR="007C520E" w:rsidRPr="00F45F8F" w:rsidRDefault="007C520E" w:rsidP="007C520E">
            <w:pPr>
              <w:ind w:left="156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if an expert report is furnished under TRCP 195.3.</w:t>
            </w:r>
          </w:p>
          <w:p w14:paraId="6E38D6F7" w14:textId="7C9D38F7" w:rsidR="007C520E" w:rsidRPr="00F45F8F" w:rsidRDefault="007C520E" w:rsidP="007C520E">
            <w:pPr>
              <w:spacing w:before="120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A party not seeking affirmative relief must make its experts available for deposition by this date.</w:t>
            </w:r>
          </w:p>
          <w:p w14:paraId="159BB13A" w14:textId="1A44E37D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All parties must make rebuttal experts available for deposition by this date.</w:t>
            </w:r>
          </w:p>
        </w:tc>
      </w:tr>
      <w:tr w:rsidR="007C520E" w:rsidRPr="00F45F8F" w14:paraId="2F57BB22" w14:textId="77777777" w:rsidTr="00297BA4">
        <w:tc>
          <w:tcPr>
            <w:tcW w:w="1278" w:type="dxa"/>
            <w:shd w:val="clear" w:color="auto" w:fill="auto"/>
          </w:tcPr>
          <w:p w14:paraId="184806E9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lastRenderedPageBreak/>
              <w:t>[date]</w:t>
            </w:r>
          </w:p>
        </w:tc>
        <w:tc>
          <w:tcPr>
            <w:tcW w:w="8298" w:type="dxa"/>
            <w:shd w:val="clear" w:color="auto" w:fill="auto"/>
          </w:tcPr>
          <w:p w14:paraId="1E3DE00E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Case-management Conference</w:t>
            </w:r>
          </w:p>
          <w:p w14:paraId="32A0251F" w14:textId="77777777" w:rsidR="007C520E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The </w:t>
            </w:r>
            <w:r w:rsidR="0009551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>judge</w:t>
            </w: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 will hold a case-management conference </w:t>
            </w:r>
            <w:r w:rsidR="0009551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>by</w:t>
            </w: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 this date. Parties must be prepared to discuss all aspects of the case</w:t>
            </w:r>
            <w:r w:rsidRPr="00F45F8F"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 xml:space="preserve">. </w:t>
            </w:r>
          </w:p>
          <w:p w14:paraId="46C93088" w14:textId="4BA87CAD" w:rsidR="00734AD6" w:rsidRPr="00F45F8F" w:rsidRDefault="00D2433C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9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>Th</w:t>
            </w:r>
            <w:r w:rsidR="00162109"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>is</w:t>
            </w:r>
            <w:r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 xml:space="preserve"> date should be approximately six months after case </w:t>
            </w:r>
            <w:r w:rsidR="00162109"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>filing</w:t>
            </w:r>
            <w:r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>.</w:t>
            </w:r>
          </w:p>
        </w:tc>
      </w:tr>
      <w:tr w:rsidR="007C520E" w:rsidRPr="00F45F8F" w14:paraId="08E004E7" w14:textId="77777777" w:rsidTr="00297BA4">
        <w:tc>
          <w:tcPr>
            <w:tcW w:w="1278" w:type="dxa"/>
            <w:shd w:val="clear" w:color="auto" w:fill="auto"/>
          </w:tcPr>
          <w:p w14:paraId="3EA0B1EE" w14:textId="532CE971" w:rsidR="007C520E" w:rsidRDefault="00920C2B" w:rsidP="009845A6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br w:type="page"/>
            </w:r>
            <w:r w:rsidR="007C520E"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1F70124C" w14:textId="5F7DC865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</w:p>
        </w:tc>
        <w:tc>
          <w:tcPr>
            <w:tcW w:w="8298" w:type="dxa"/>
            <w:shd w:val="clear" w:color="auto" w:fill="auto"/>
          </w:tcPr>
          <w:p w14:paraId="0D000A75" w14:textId="0F2D7574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End of Discovery Period</w:t>
            </w:r>
            <w:r w:rsidR="00E345D4">
              <w:rPr>
                <w:rFonts w:ascii="Century Supra A" w:hAnsi="Century Supra A"/>
                <w:sz w:val="26"/>
                <w:szCs w:val="26"/>
              </w:rPr>
              <w:t>*</w:t>
            </w:r>
          </w:p>
          <w:p w14:paraId="272E1744" w14:textId="1B880785" w:rsidR="007C520E" w:rsidRPr="00F45F8F" w:rsidRDefault="00471F43" w:rsidP="009030CC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All discovery closes on this date. The date must be at least four months </w:t>
            </w:r>
            <w:r w:rsidR="009030CC" w:rsidRPr="00F45F8F">
              <w:rPr>
                <w:rFonts w:ascii="Century Supra A" w:hAnsi="Century Supra A"/>
                <w:sz w:val="26"/>
                <w:szCs w:val="26"/>
              </w:rPr>
              <w:t xml:space="preserve">before trial. </w:t>
            </w:r>
          </w:p>
          <w:p w14:paraId="3CA108EB" w14:textId="3357FCD2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b/>
                <w:bCs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Parties must serve discovery requests early enough that response</w:t>
            </w:r>
            <w:r w:rsidR="0088268C" w:rsidRPr="00F45F8F">
              <w:rPr>
                <w:rFonts w:ascii="Century Supra A" w:hAnsi="Century Supra A"/>
                <w:sz w:val="26"/>
                <w:szCs w:val="26"/>
              </w:rPr>
              <w:t>s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</w:t>
            </w:r>
            <w:r w:rsidR="0088268C" w:rsidRPr="00F45F8F">
              <w:rPr>
                <w:rFonts w:ascii="Century Supra A" w:hAnsi="Century Supra A"/>
                <w:sz w:val="26"/>
                <w:szCs w:val="26"/>
              </w:rPr>
              <w:t>are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due within the discovery period. </w:t>
            </w:r>
          </w:p>
        </w:tc>
      </w:tr>
      <w:tr w:rsidR="00F1496A" w:rsidRPr="00F45F8F" w14:paraId="53A8A35B" w14:textId="77777777" w:rsidTr="00297BA4">
        <w:tc>
          <w:tcPr>
            <w:tcW w:w="1278" w:type="dxa"/>
            <w:shd w:val="clear" w:color="auto" w:fill="auto"/>
          </w:tcPr>
          <w:p w14:paraId="4B9246C5" w14:textId="5D39D4E9" w:rsidR="00F1496A" w:rsidRPr="00F45F8F" w:rsidRDefault="00E329AF" w:rsidP="009845A6">
            <w:pPr>
              <w:snapToGrid w:val="0"/>
              <w:spacing w:before="120"/>
              <w:jc w:val="left"/>
              <w:rPr>
                <w:rFonts w:ascii="Century Supra A" w:hAnsi="Century Supra A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2D987B34" w14:textId="77777777" w:rsidR="00F1496A" w:rsidRPr="002B6C95" w:rsidRDefault="00E329AF" w:rsidP="007C520E">
            <w:pPr>
              <w:pStyle w:val="Heading2"/>
              <w:rPr>
                <w:rFonts w:ascii="Century Supra A" w:hAnsi="Century Supra A"/>
                <w:b w:val="0"/>
                <w:bCs w:val="0"/>
                <w:sz w:val="26"/>
                <w:szCs w:val="26"/>
              </w:rPr>
            </w:pPr>
            <w:r w:rsidRPr="002B6C95">
              <w:rPr>
                <w:rFonts w:ascii="Century Supra A" w:hAnsi="Century Supra A"/>
                <w:sz w:val="26"/>
                <w:szCs w:val="26"/>
              </w:rPr>
              <w:t>Deadline for Jury Demand</w:t>
            </w:r>
          </w:p>
          <w:p w14:paraId="6A90446A" w14:textId="54BCAE00" w:rsidR="00E329AF" w:rsidRPr="002B6C95" w:rsidRDefault="00CB2129" w:rsidP="00E329AF">
            <w:r w:rsidRPr="002B6C95">
              <w:t xml:space="preserve">This is the deadline to </w:t>
            </w:r>
            <w:r w:rsidR="004F7F54" w:rsidRPr="002B6C95">
              <w:t xml:space="preserve">request </w:t>
            </w:r>
            <w:r w:rsidRPr="002B6C95">
              <w:t>a</w:t>
            </w:r>
            <w:r w:rsidR="004F7F54" w:rsidRPr="002B6C95">
              <w:t xml:space="preserve"> jury trial</w:t>
            </w:r>
            <w:r w:rsidR="00E4476B" w:rsidRPr="002B6C95">
              <w:t>, if desired,</w:t>
            </w:r>
            <w:r w:rsidR="004F7F54" w:rsidRPr="002B6C95">
              <w:t xml:space="preserve"> </w:t>
            </w:r>
            <w:r w:rsidRPr="002B6C95">
              <w:t>and pay the appropriate jury fee</w:t>
            </w:r>
            <w:r w:rsidR="002B6C95">
              <w:t>s</w:t>
            </w:r>
            <w:r w:rsidR="004F7F54" w:rsidRPr="002B6C95">
              <w:t>.</w:t>
            </w:r>
          </w:p>
          <w:p w14:paraId="382DDAC6" w14:textId="77777777" w:rsidR="004F7F54" w:rsidRPr="002B6C95" w:rsidRDefault="004F7F54" w:rsidP="00E329AF">
            <w:r w:rsidRPr="002B6C95">
              <w:t>This date must be at least four months before trial.</w:t>
            </w:r>
          </w:p>
          <w:p w14:paraId="45B1DE44" w14:textId="03A033D3" w:rsidR="004F7F54" w:rsidRPr="002B6C95" w:rsidRDefault="004F7F54" w:rsidP="00E329AF">
            <w:r w:rsidRPr="002B6C95">
              <w:t>Parties must include this deadline in their proposed scheduling order.</w:t>
            </w:r>
          </w:p>
        </w:tc>
      </w:tr>
      <w:tr w:rsidR="007C520E" w:rsidRPr="00F45F8F" w14:paraId="218139F9" w14:textId="77777777" w:rsidTr="00297BA4">
        <w:tc>
          <w:tcPr>
            <w:tcW w:w="1278" w:type="dxa"/>
            <w:shd w:val="clear" w:color="auto" w:fill="auto"/>
          </w:tcPr>
          <w:p w14:paraId="36E62BF3" w14:textId="497F83E6" w:rsidR="007C520E" w:rsidRPr="00F45F8F" w:rsidRDefault="007C520E" w:rsidP="001B5E8A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3730E2AB" w14:textId="3A64CED6" w:rsidR="007C520E" w:rsidRPr="00F45F8F" w:rsidRDefault="00452097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Mediation</w:t>
            </w:r>
            <w:r w:rsidR="007C520E" w:rsidRPr="00F45F8F">
              <w:rPr>
                <w:rFonts w:ascii="Century Supra A" w:hAnsi="Century Supra A"/>
                <w:sz w:val="26"/>
                <w:szCs w:val="26"/>
              </w:rPr>
              <w:t xml:space="preserve"> </w:t>
            </w:r>
          </w:p>
          <w:p w14:paraId="369F8A16" w14:textId="75B9D265" w:rsidR="007C520E" w:rsidRPr="00F45F8F" w:rsidRDefault="002746F0" w:rsidP="001B5E8A">
            <w:pPr>
              <w:snapToGrid w:val="0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P</w:t>
            </w:r>
            <w:r w:rsidR="007C520E"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arties </w:t>
            </w:r>
            <w:r w:rsidR="00452097" w:rsidRPr="00F45F8F">
              <w:rPr>
                <w:rFonts w:ascii="Century Supra A" w:eastAsia="Calibri" w:hAnsi="Century Supra A"/>
                <w:sz w:val="26"/>
                <w:szCs w:val="26"/>
              </w:rPr>
              <w:t>must mediat</w:t>
            </w:r>
            <w:r w:rsidR="009409A4" w:rsidRPr="00F45F8F">
              <w:rPr>
                <w:rFonts w:ascii="Century Supra A" w:eastAsia="Calibri" w:hAnsi="Century Supra A"/>
                <w:sz w:val="26"/>
                <w:szCs w:val="26"/>
              </w:rPr>
              <w:t>e</w:t>
            </w:r>
            <w:r w:rsidR="00452097"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on or before this date. </w:t>
            </w:r>
          </w:p>
        </w:tc>
      </w:tr>
      <w:tr w:rsidR="007C520E" w:rsidRPr="00F45F8F" w14:paraId="29A10A55" w14:textId="77777777" w:rsidTr="00297BA4">
        <w:tc>
          <w:tcPr>
            <w:tcW w:w="1278" w:type="dxa"/>
            <w:shd w:val="clear" w:color="auto" w:fill="auto"/>
          </w:tcPr>
          <w:p w14:paraId="407C7840" w14:textId="169999E1" w:rsidR="007C520E" w:rsidRPr="00F45F8F" w:rsidRDefault="007C520E" w:rsidP="009845A6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021E0D10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Dispositive Motions &amp; Pleas</w:t>
            </w:r>
          </w:p>
          <w:p w14:paraId="55E7E22C" w14:textId="1B7774B8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9"/>
                <w:sz w:val="26"/>
                <w:szCs w:val="26"/>
              </w:rPr>
              <w:t>Dispositive motions and pleas, including motions for summary judgment, must be set for hearing or submission by th</w:t>
            </w:r>
            <w:r w:rsidR="00375473" w:rsidRPr="00F45F8F">
              <w:rPr>
                <w:rFonts w:ascii="Century Supra A" w:eastAsia="Calibri" w:hAnsi="Century Supra A"/>
                <w:color w:val="000000"/>
                <w:spacing w:val="9"/>
                <w:sz w:val="26"/>
                <w:szCs w:val="26"/>
              </w:rPr>
              <w:t>is date</w:t>
            </w:r>
            <w:r w:rsidR="00697B94" w:rsidRPr="00F45F8F">
              <w:rPr>
                <w:rFonts w:ascii="Century Supra A" w:eastAsia="Calibri" w:hAnsi="Century Supra A"/>
                <w:color w:val="000000"/>
                <w:spacing w:val="9"/>
                <w:sz w:val="26"/>
                <w:szCs w:val="26"/>
              </w:rPr>
              <w:t>.</w:t>
            </w:r>
            <w:r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 xml:space="preserve">                    </w:t>
            </w:r>
          </w:p>
          <w:p w14:paraId="189F12CD" w14:textId="14EAF6ED" w:rsidR="007C520E" w:rsidRPr="00F45F8F" w:rsidRDefault="00530985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-8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Th</w:t>
            </w:r>
            <w:r w:rsidR="00375473" w:rsidRPr="00F45F8F">
              <w:rPr>
                <w:rFonts w:ascii="Century Supra A" w:eastAsia="Calibri" w:hAnsi="Century Supra A"/>
                <w:sz w:val="26"/>
                <w:szCs w:val="26"/>
              </w:rPr>
              <w:t>e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date must be at least 100 days before trial. </w:t>
            </w:r>
          </w:p>
        </w:tc>
      </w:tr>
      <w:tr w:rsidR="007C520E" w:rsidRPr="00F45F8F" w14:paraId="66CF3186" w14:textId="77777777" w:rsidTr="00297BA4">
        <w:tc>
          <w:tcPr>
            <w:tcW w:w="1278" w:type="dxa"/>
            <w:shd w:val="clear" w:color="auto" w:fill="auto"/>
          </w:tcPr>
          <w:p w14:paraId="221619C6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lastRenderedPageBreak/>
              <w:t>[date]</w:t>
            </w:r>
          </w:p>
          <w:p w14:paraId="44E791ED" w14:textId="77777777" w:rsidR="007C520E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02D61881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Challenges to Expert Testimony</w:t>
            </w:r>
          </w:p>
          <w:p w14:paraId="177C0BCA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 xml:space="preserve">All </w:t>
            </w:r>
            <w:r w:rsidRPr="00F45F8F">
              <w:rPr>
                <w:rFonts w:ascii="Century Supra A" w:eastAsia="Calibri" w:hAnsi="Century Supra A"/>
                <w:i/>
                <w:iCs/>
                <w:color w:val="000000"/>
                <w:spacing w:val="4"/>
                <w:sz w:val="26"/>
                <w:szCs w:val="26"/>
              </w:rPr>
              <w:t xml:space="preserve">Daubert/Robinson </w:t>
            </w: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 xml:space="preserve">motions or other motions to exclude or limit expert testimony </w:t>
            </w: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must be filed by this date.</w:t>
            </w:r>
          </w:p>
          <w:p w14:paraId="6A76B373" w14:textId="439B4BA0" w:rsidR="0039340C" w:rsidRPr="00F45F8F" w:rsidRDefault="0039340C" w:rsidP="007C520E">
            <w:pPr>
              <w:snapToGrid w:val="0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This date must be at least </w:t>
            </w:r>
            <w:r w:rsidR="00B127E0"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60 days before trial.</w:t>
            </w:r>
          </w:p>
        </w:tc>
      </w:tr>
      <w:tr w:rsidR="007C520E" w:rsidRPr="00F45F8F" w14:paraId="63544E2C" w14:textId="77777777" w:rsidTr="00297BA4">
        <w:tc>
          <w:tcPr>
            <w:tcW w:w="1278" w:type="dxa"/>
            <w:shd w:val="clear" w:color="auto" w:fill="auto"/>
          </w:tcPr>
          <w:p w14:paraId="0C1B61C5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11827B4A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5C08C9D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6DF4EDB" w14:textId="77777777" w:rsidR="007C520E" w:rsidRDefault="007C520E" w:rsidP="007C520E">
            <w:pPr>
              <w:snapToGrid w:val="0"/>
              <w:spacing w:before="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E235FC3" w14:textId="77777777" w:rsidR="009D6213" w:rsidRPr="00F45F8F" w:rsidRDefault="009D6213" w:rsidP="007C520E">
            <w:pPr>
              <w:snapToGrid w:val="0"/>
              <w:spacing w:before="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4FE11002" w14:textId="77777777" w:rsidR="007C520E" w:rsidRPr="00F45F8F" w:rsidRDefault="007C520E" w:rsidP="009D6213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82FFE83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34439CA4" w14:textId="77777777" w:rsidR="007C520E" w:rsidRPr="00F45F8F" w:rsidRDefault="007C520E" w:rsidP="007A6C3E">
            <w:pPr>
              <w:snapToGrid w:val="0"/>
              <w:spacing w:before="120" w:after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300130C3" w14:textId="77777777" w:rsidR="007A6C3E" w:rsidRDefault="007A6C3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ADA89ED" w14:textId="77346485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CEA1F32" w14:textId="77777777" w:rsidR="007C520E" w:rsidRPr="00F45F8F" w:rsidRDefault="007C520E" w:rsidP="007C520E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0CBB6954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0CC47CC8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Proposed Jury Charges</w:t>
            </w:r>
          </w:p>
          <w:p w14:paraId="68F3C026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In a jury-trial case, parties must exchange, confer about, and file proposed jury charges as follows:</w:t>
            </w:r>
          </w:p>
          <w:p w14:paraId="6A1F542F" w14:textId="77777777" w:rsidR="007C520E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 xml:space="preserve">By this date, each party must exchange its proposed jury questions and instructions, if any, with the other parties. </w:t>
            </w:r>
          </w:p>
          <w:p w14:paraId="4EED7BDF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b/>
                <w:bCs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By this date, each party must inform the other parties, in writing, whether it agrees or objects to each question and instruction proposed by another party.</w:t>
            </w:r>
          </w:p>
          <w:p w14:paraId="07B5E9F7" w14:textId="3E5CB41A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By this date, all parties must meet and confer in a good faith effort to agree on the proper jury questions and instructions.</w:t>
            </w:r>
          </w:p>
          <w:p w14:paraId="68DD54F0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By this date, the parties will file:</w:t>
            </w:r>
          </w:p>
          <w:p w14:paraId="0E105B79" w14:textId="7A6C0E26" w:rsidR="007C520E" w:rsidRPr="00F45F8F" w:rsidRDefault="007C520E" w:rsidP="00207592">
            <w:pPr>
              <w:numPr>
                <w:ilvl w:val="0"/>
                <w:numId w:val="11"/>
              </w:numPr>
              <w:snapToGrid w:val="0"/>
              <w:ind w:left="88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 </w:t>
            </w:r>
            <w:r w:rsidR="002F16B3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 </w:t>
            </w:r>
            <w:r w:rsidR="00207592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a </w:t>
            </w: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Joint Proposed Jury Charge that includes all proposed jury questions and instructions on which all parties agree, and</w:t>
            </w:r>
          </w:p>
          <w:p w14:paraId="2491F418" w14:textId="44745E14" w:rsidR="007C520E" w:rsidRPr="00F45F8F" w:rsidRDefault="002F16B3" w:rsidP="00207592">
            <w:pPr>
              <w:numPr>
                <w:ilvl w:val="0"/>
                <w:numId w:val="11"/>
              </w:numPr>
              <w:snapToGrid w:val="0"/>
              <w:ind w:left="88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  </w:t>
            </w:r>
            <w:r w:rsidR="007C520E"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if a party wishes to propose jury questions or instructions that </w:t>
            </w:r>
            <w:r w:rsidR="00C73FCB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are</w:t>
            </w:r>
            <w:r w:rsidR="007C520E"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 not agreed, that party must file a Disputed Proposed Jury Charge containing such proposed questions or instructions.</w:t>
            </w:r>
          </w:p>
          <w:p w14:paraId="0E4E0CF8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This process is a precursor to, and not in place of, the charge conference that will be held at trial. </w:t>
            </w:r>
          </w:p>
        </w:tc>
      </w:tr>
      <w:tr w:rsidR="007C520E" w:rsidRPr="00F45F8F" w14:paraId="2498633E" w14:textId="77777777" w:rsidTr="00297BA4">
        <w:tc>
          <w:tcPr>
            <w:tcW w:w="1278" w:type="dxa"/>
            <w:shd w:val="clear" w:color="auto" w:fill="auto"/>
          </w:tcPr>
          <w:p w14:paraId="3447E426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45084A70" w14:textId="77777777" w:rsidR="007C520E" w:rsidRDefault="007C520E" w:rsidP="007C520E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6A1C9336" w14:textId="227F9900" w:rsidR="007C520E" w:rsidRPr="00F45F8F" w:rsidRDefault="00E534F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Trial Materials</w:t>
            </w:r>
          </w:p>
          <w:p w14:paraId="6548675D" w14:textId="4164C050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By this date, parties must exchange </w:t>
            </w:r>
            <w:r w:rsidR="00D5001C" w:rsidRPr="00F45F8F">
              <w:rPr>
                <w:rFonts w:ascii="Century Supra A" w:hAnsi="Century Supra A"/>
                <w:sz w:val="26"/>
                <w:szCs w:val="26"/>
              </w:rPr>
              <w:t xml:space="preserve">(i) witness 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>list</w:t>
            </w:r>
            <w:r w:rsidR="00D5001C" w:rsidRPr="00F45F8F">
              <w:rPr>
                <w:rFonts w:ascii="Century Supra A" w:hAnsi="Century Supra A"/>
                <w:sz w:val="26"/>
                <w:szCs w:val="26"/>
              </w:rPr>
              <w:t xml:space="preserve">s, (ii) exhibit lists, and (iii) </w:t>
            </w:r>
            <w:r w:rsidR="00E96B03" w:rsidRPr="00F45F8F">
              <w:rPr>
                <w:rFonts w:ascii="Century Supra A" w:hAnsi="Century Supra A"/>
                <w:sz w:val="26"/>
                <w:szCs w:val="26"/>
              </w:rPr>
              <w:t xml:space="preserve">page/line designations </w:t>
            </w:r>
            <w:r w:rsidR="002F16B3">
              <w:rPr>
                <w:rFonts w:ascii="Century Supra A" w:hAnsi="Century Supra A"/>
                <w:sz w:val="26"/>
                <w:szCs w:val="26"/>
              </w:rPr>
              <w:t>for</w:t>
            </w:r>
            <w:r w:rsidR="00E96B03" w:rsidRPr="00F45F8F">
              <w:rPr>
                <w:rFonts w:ascii="Century Supra A" w:hAnsi="Century Supra A"/>
                <w:sz w:val="26"/>
                <w:szCs w:val="26"/>
              </w:rPr>
              <w:t xml:space="preserve"> all </w:t>
            </w:r>
            <w:r w:rsidR="00EE7307" w:rsidRPr="00F45F8F">
              <w:rPr>
                <w:rFonts w:ascii="Century Supra A" w:hAnsi="Century Supra A"/>
                <w:sz w:val="26"/>
                <w:szCs w:val="26"/>
              </w:rPr>
              <w:t>deposition excerpts to be offered on direct examination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.  </w:t>
            </w:r>
          </w:p>
          <w:p w14:paraId="25B25871" w14:textId="77777777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Exhibit lists should be formatted as follows: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9"/>
              <w:gridCol w:w="1347"/>
              <w:gridCol w:w="5038"/>
            </w:tblGrid>
            <w:tr w:rsidR="007C520E" w:rsidRPr="00F45F8F" w14:paraId="5E4FC7B4" w14:textId="77777777" w:rsidTr="00297F17">
              <w:tc>
                <w:tcPr>
                  <w:tcW w:w="1501" w:type="dxa"/>
                  <w:shd w:val="clear" w:color="auto" w:fill="auto"/>
                </w:tcPr>
                <w:p w14:paraId="45F7B1FB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Exhibit #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4A73B63C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Admitted</w:t>
                  </w:r>
                </w:p>
              </w:tc>
              <w:tc>
                <w:tcPr>
                  <w:tcW w:w="5216" w:type="dxa"/>
                  <w:shd w:val="clear" w:color="auto" w:fill="auto"/>
                </w:tcPr>
                <w:p w14:paraId="542303A6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Description</w:t>
                  </w:r>
                </w:p>
              </w:tc>
            </w:tr>
            <w:tr w:rsidR="007C520E" w:rsidRPr="00F45F8F" w14:paraId="2899F06A" w14:textId="77777777" w:rsidTr="00297F17">
              <w:tc>
                <w:tcPr>
                  <w:tcW w:w="1501" w:type="dxa"/>
                  <w:shd w:val="clear" w:color="auto" w:fill="auto"/>
                </w:tcPr>
                <w:p w14:paraId="35AD1A69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4CDAF5B3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</w:p>
              </w:tc>
              <w:tc>
                <w:tcPr>
                  <w:tcW w:w="5216" w:type="dxa"/>
                  <w:shd w:val="clear" w:color="auto" w:fill="auto"/>
                </w:tcPr>
                <w:p w14:paraId="0710BFC7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Letter from A to B dated 9/1/2024</w:t>
                  </w:r>
                </w:p>
              </w:tc>
            </w:tr>
            <w:tr w:rsidR="007C520E" w:rsidRPr="00F45F8F" w14:paraId="49D86A2B" w14:textId="77777777" w:rsidTr="00297F17">
              <w:tc>
                <w:tcPr>
                  <w:tcW w:w="1501" w:type="dxa"/>
                  <w:shd w:val="clear" w:color="auto" w:fill="auto"/>
                </w:tcPr>
                <w:p w14:paraId="34A8D20C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4B8EF166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</w:p>
              </w:tc>
              <w:tc>
                <w:tcPr>
                  <w:tcW w:w="5216" w:type="dxa"/>
                  <w:shd w:val="clear" w:color="auto" w:fill="auto"/>
                </w:tcPr>
                <w:p w14:paraId="45CFA421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Photograph of land taken 9/1/2024</w:t>
                  </w:r>
                </w:p>
              </w:tc>
            </w:tr>
          </w:tbl>
          <w:p w14:paraId="602D0C59" w14:textId="77777777" w:rsidR="007C520E" w:rsidRPr="00F45F8F" w:rsidRDefault="007C520E" w:rsidP="007C520E">
            <w:pPr>
              <w:spacing w:after="0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lastRenderedPageBreak/>
              <w:t xml:space="preserve"> </w:t>
            </w:r>
          </w:p>
          <w:p w14:paraId="4F318DEF" w14:textId="627127AA" w:rsidR="009F385C" w:rsidRPr="00F45F8F" w:rsidRDefault="009F385C" w:rsidP="007C520E">
            <w:pPr>
              <w:spacing w:after="0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Witness lists should include </w:t>
            </w:r>
            <w:r w:rsidR="00F650E8" w:rsidRPr="00F45F8F">
              <w:rPr>
                <w:rFonts w:ascii="Century Supra A" w:hAnsi="Century Supra A"/>
                <w:sz w:val="26"/>
                <w:szCs w:val="26"/>
              </w:rPr>
              <w:t xml:space="preserve">the names and addresses of all witnesses, other than rebuttal, </w:t>
            </w:r>
            <w:r w:rsidR="00F75FF5" w:rsidRPr="00F45F8F">
              <w:rPr>
                <w:rFonts w:ascii="Century Supra A" w:hAnsi="Century Supra A"/>
                <w:sz w:val="26"/>
                <w:szCs w:val="26"/>
              </w:rPr>
              <w:t>the parties</w:t>
            </w:r>
            <w:r w:rsidR="00F650E8" w:rsidRPr="00F45F8F">
              <w:rPr>
                <w:rFonts w:ascii="Century Supra A" w:hAnsi="Century Supra A"/>
                <w:sz w:val="26"/>
                <w:szCs w:val="26"/>
              </w:rPr>
              <w:t xml:space="preserve"> </w:t>
            </w:r>
            <w:r w:rsidR="00F75FF5" w:rsidRPr="00F45F8F">
              <w:rPr>
                <w:rFonts w:ascii="Century Supra A" w:hAnsi="Century Supra A"/>
                <w:sz w:val="26"/>
                <w:szCs w:val="26"/>
              </w:rPr>
              <w:t>reasonably anticipate calling to testify.</w:t>
            </w:r>
          </w:p>
          <w:p w14:paraId="31D58769" w14:textId="77777777" w:rsidR="00F75FF5" w:rsidRPr="00F45F8F" w:rsidRDefault="00F75FF5" w:rsidP="007C520E">
            <w:pPr>
              <w:spacing w:after="0"/>
              <w:rPr>
                <w:rFonts w:ascii="Century Supra A" w:hAnsi="Century Supra A"/>
                <w:sz w:val="26"/>
                <w:szCs w:val="26"/>
              </w:rPr>
            </w:pPr>
          </w:p>
          <w:p w14:paraId="12F0C321" w14:textId="1B6930F7" w:rsidR="00D5001C" w:rsidRPr="00F45F8F" w:rsidRDefault="00D5001C" w:rsidP="007C520E">
            <w:pPr>
              <w:spacing w:after="0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For </w:t>
            </w:r>
            <w:r w:rsidR="009F385C" w:rsidRPr="00F45F8F">
              <w:rPr>
                <w:rFonts w:ascii="Century Supra A" w:hAnsi="Century Supra A"/>
                <w:sz w:val="26"/>
                <w:szCs w:val="26"/>
              </w:rPr>
              <w:t>deposition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excerpts, a party must provide both the audio/video cuts the party intends to play and the transcript page</w:t>
            </w:r>
            <w:r w:rsidR="00F75FF5" w:rsidRPr="00F45F8F">
              <w:rPr>
                <w:rFonts w:ascii="Century Supra A" w:hAnsi="Century Supra A"/>
                <w:sz w:val="26"/>
                <w:szCs w:val="26"/>
              </w:rPr>
              <w:t>/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>line designations. If a party intends to read the testimony, the party need only provide page and line designations</w:t>
            </w:r>
            <w:r w:rsidR="00DD393D" w:rsidRPr="00F45F8F">
              <w:rPr>
                <w:rFonts w:ascii="Century Supra A" w:hAnsi="Century Supra A"/>
                <w:sz w:val="26"/>
                <w:szCs w:val="26"/>
              </w:rPr>
              <w:t>.</w:t>
            </w:r>
          </w:p>
          <w:p w14:paraId="0E6DC7D8" w14:textId="77777777" w:rsidR="00D5001C" w:rsidRPr="00F45F8F" w:rsidRDefault="00D5001C" w:rsidP="007C520E">
            <w:pPr>
              <w:spacing w:after="0"/>
              <w:rPr>
                <w:rFonts w:ascii="Century Supra A" w:hAnsi="Century Supra A"/>
                <w:sz w:val="26"/>
                <w:szCs w:val="26"/>
              </w:rPr>
            </w:pPr>
          </w:p>
        </w:tc>
      </w:tr>
      <w:tr w:rsidR="007C520E" w:rsidRPr="00F45F8F" w14:paraId="4E5690EE" w14:textId="77777777" w:rsidTr="00297BA4">
        <w:tc>
          <w:tcPr>
            <w:tcW w:w="1278" w:type="dxa"/>
            <w:shd w:val="clear" w:color="auto" w:fill="auto"/>
          </w:tcPr>
          <w:p w14:paraId="3B4338CD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lastRenderedPageBreak/>
              <w:t>[date]</w:t>
            </w:r>
          </w:p>
          <w:p w14:paraId="1CE6E6A5" w14:textId="77777777" w:rsidR="007C520E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612AF712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Exhibit Binders</w:t>
            </w:r>
          </w:p>
          <w:p w14:paraId="4855510B" w14:textId="5F1953FA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By this date, each party must provide the Court with binder(s) containing bates-stamped copies of all exhibits the party intends to offer at trial. In the case of physical items offered as exhibits, a photograph or other reproduction may be used. </w:t>
            </w:r>
          </w:p>
          <w:p w14:paraId="0C12F53B" w14:textId="599BBDAD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The binders must begin with the party’s exhibit list and the exhibits should be tabbed and numbered sequentially, consistent with the exhibit list.</w:t>
            </w:r>
          </w:p>
        </w:tc>
      </w:tr>
      <w:tr w:rsidR="007C520E" w:rsidRPr="00F45F8F" w14:paraId="265C1A72" w14:textId="77777777" w:rsidTr="00297BA4">
        <w:tc>
          <w:tcPr>
            <w:tcW w:w="1278" w:type="dxa"/>
            <w:shd w:val="clear" w:color="auto" w:fill="auto"/>
          </w:tcPr>
          <w:p w14:paraId="6A02D2A6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958227E" w14:textId="77777777" w:rsidR="007C520E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152FFCBD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Motions in Limine / Motions to Exclude</w:t>
            </w:r>
          </w:p>
          <w:p w14:paraId="6CFFA4A4" w14:textId="5AEB2EF0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By this date, parties </w:t>
            </w:r>
            <w:r w:rsidR="005E0CD7" w:rsidRPr="00F45F8F">
              <w:rPr>
                <w:rFonts w:ascii="Century Supra A" w:hAnsi="Century Supra A"/>
                <w:sz w:val="26"/>
                <w:szCs w:val="26"/>
              </w:rPr>
              <w:t>must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file any motions in limine or motions to exclude or otherwise limit the admission of non-expert evidence.</w:t>
            </w:r>
          </w:p>
        </w:tc>
      </w:tr>
      <w:tr w:rsidR="007C520E" w:rsidRPr="00F45F8F" w14:paraId="0F59FB30" w14:textId="77777777" w:rsidTr="00297BA4">
        <w:tc>
          <w:tcPr>
            <w:tcW w:w="1278" w:type="dxa"/>
            <w:shd w:val="clear" w:color="auto" w:fill="auto"/>
          </w:tcPr>
          <w:p w14:paraId="366F4C6D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66D3B03C" w14:textId="77777777" w:rsidR="007C520E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621CE84E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Proposed Pretrial Order</w:t>
            </w:r>
          </w:p>
          <w:p w14:paraId="5F25BAAD" w14:textId="6AF519FC" w:rsidR="007C520E" w:rsidRPr="00F45F8F" w:rsidRDefault="007C520E" w:rsidP="007C520E">
            <w:pPr>
              <w:pStyle w:val="Heading2"/>
              <w:rPr>
                <w:rFonts w:ascii="Century Supra A" w:hAnsi="Century Supra A"/>
                <w:b w:val="0"/>
                <w:bCs w:val="0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By this date, parties must jointly or individually file a Proposed Pretrial Order in the form provided </w:t>
            </w:r>
            <w:r w:rsidR="001A11BD"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on the judge’s </w:t>
            </w:r>
            <w:r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website.</w:t>
            </w:r>
            <w:r w:rsidR="00F620EA" w:rsidRPr="00F45F8F">
              <w:rPr>
                <w:rFonts w:ascii="Century Supra A" w:hAnsi="Century Supra A"/>
              </w:rPr>
              <w:t xml:space="preserve"> </w:t>
            </w:r>
            <w:r w:rsidR="00F620EA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The proposed pretrial order will address trial issues such as motions in limine, handling evidence, the time needed for trial, notice of daily witness</w:t>
            </w:r>
            <w:r w:rsidR="005D006F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es</w:t>
            </w:r>
            <w:r w:rsidR="00F620EA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, </w:t>
            </w:r>
            <w:r w:rsidR="004A788E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and </w:t>
            </w:r>
            <w:r w:rsidR="00F620EA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court reporting.</w:t>
            </w:r>
            <w:r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 </w:t>
            </w:r>
          </w:p>
          <w:p w14:paraId="0A08D181" w14:textId="2418F475" w:rsidR="001A11BD" w:rsidRPr="00F45F8F" w:rsidRDefault="001A11BD" w:rsidP="001A11BD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This date should be at least </w:t>
            </w:r>
            <w:r w:rsidR="00EE66A1">
              <w:rPr>
                <w:rFonts w:ascii="Century Supra A" w:hAnsi="Century Supra A"/>
                <w:sz w:val="26"/>
                <w:szCs w:val="26"/>
              </w:rPr>
              <w:t>ten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days before the pretrial conference. </w:t>
            </w:r>
          </w:p>
        </w:tc>
      </w:tr>
      <w:tr w:rsidR="007C520E" w:rsidRPr="00F45F8F" w14:paraId="0B1A5D41" w14:textId="77777777" w:rsidTr="00297BA4">
        <w:tc>
          <w:tcPr>
            <w:tcW w:w="1278" w:type="dxa"/>
            <w:shd w:val="clear" w:color="auto" w:fill="auto"/>
          </w:tcPr>
          <w:p w14:paraId="0A061232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25F4ACA8" w14:textId="77777777" w:rsidR="007C520E" w:rsidRDefault="007C520E" w:rsidP="007C520E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36906E1E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Pretrial Conference</w:t>
            </w:r>
          </w:p>
          <w:p w14:paraId="1E3209A4" w14:textId="365D7F13" w:rsidR="001A11BD" w:rsidRPr="00F45F8F" w:rsidRDefault="007C520E" w:rsidP="007C520E">
            <w:pPr>
              <w:rPr>
                <w:rFonts w:ascii="Century Supra A" w:eastAsia="Calibri" w:hAnsi="Century Supra A"/>
                <w:spacing w:val="8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The </w:t>
            </w:r>
            <w:r w:rsidR="00C66420" w:rsidRPr="00F45F8F">
              <w:rPr>
                <w:rFonts w:ascii="Century Supra A" w:eastAsia="Calibri" w:hAnsi="Century Supra A"/>
                <w:sz w:val="26"/>
                <w:szCs w:val="26"/>
              </w:rPr>
              <w:t>judge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will hold a pretrial conference on this date. Parties must be prepared to discuss all aspects of the case</w:t>
            </w:r>
            <w:r w:rsidRPr="00F45F8F">
              <w:rPr>
                <w:rFonts w:ascii="Century Supra A" w:eastAsia="Calibri" w:hAnsi="Century Supra A"/>
                <w:spacing w:val="8"/>
                <w:sz w:val="26"/>
                <w:szCs w:val="26"/>
              </w:rPr>
              <w:t>.</w:t>
            </w:r>
          </w:p>
          <w:p w14:paraId="5DDD3A81" w14:textId="56F339E0" w:rsidR="007C520E" w:rsidRPr="00F45F8F" w:rsidRDefault="001A11BD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pacing w:val="8"/>
                <w:sz w:val="26"/>
                <w:szCs w:val="26"/>
              </w:rPr>
              <w:t>This date must be at least ten days before trial.</w:t>
            </w:r>
            <w:r w:rsidR="007C520E" w:rsidRPr="00F45F8F">
              <w:rPr>
                <w:rFonts w:ascii="Century Supra A" w:eastAsia="Calibri" w:hAnsi="Century Supra A"/>
                <w:spacing w:val="8"/>
                <w:sz w:val="26"/>
                <w:szCs w:val="26"/>
              </w:rPr>
              <w:t xml:space="preserve"> </w:t>
            </w:r>
          </w:p>
        </w:tc>
      </w:tr>
      <w:tr w:rsidR="007C520E" w:rsidRPr="00F45F8F" w14:paraId="0B41C07F" w14:textId="77777777" w:rsidTr="00297BA4">
        <w:tc>
          <w:tcPr>
            <w:tcW w:w="1278" w:type="dxa"/>
            <w:shd w:val="clear" w:color="auto" w:fill="auto"/>
          </w:tcPr>
          <w:p w14:paraId="584DD68B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3D2C7C5F" w14:textId="77777777" w:rsidR="007C520E" w:rsidRDefault="007C520E" w:rsidP="007C520E">
            <w:pPr>
              <w:snapToGrid w:val="0"/>
              <w:spacing w:after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99119BE" w14:textId="77777777" w:rsidR="00F57684" w:rsidRDefault="00F57684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6EAC153C" w14:textId="0E93DCFA" w:rsidR="007C520E" w:rsidRPr="00F45F8F" w:rsidRDefault="007C520E" w:rsidP="00F57684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[#]</w:t>
            </w:r>
          </w:p>
        </w:tc>
        <w:tc>
          <w:tcPr>
            <w:tcW w:w="8298" w:type="dxa"/>
            <w:shd w:val="clear" w:color="auto" w:fill="auto"/>
          </w:tcPr>
          <w:p w14:paraId="5AB79EFF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lastRenderedPageBreak/>
              <w:t>Trial</w:t>
            </w:r>
          </w:p>
          <w:p w14:paraId="515B94BF" w14:textId="3BE1FAD7" w:rsidR="007C520E" w:rsidRPr="00F45F8F" w:rsidRDefault="007C520E" w:rsidP="007C520E">
            <w:pPr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Unless otherwise ordered by the Court, trial will be held on this date.</w:t>
            </w:r>
            <w:r w:rsidR="00B81485"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</w:t>
            </w:r>
            <w:r w:rsidR="00B81485" w:rsidRPr="00F45F8F">
              <w:rPr>
                <w:rFonts w:ascii="Century Supra A" w:eastAsia="Calibri" w:hAnsi="Century Supra A"/>
                <w:sz w:val="26"/>
                <w:szCs w:val="26"/>
              </w:rPr>
              <w:lastRenderedPageBreak/>
              <w:t>This date must be no more than 13 months from the date the lawsuit was first filed or removed</w:t>
            </w:r>
            <w:r w:rsidR="002F5911">
              <w:rPr>
                <w:rFonts w:ascii="Century Supra A" w:eastAsia="Calibri" w:hAnsi="Century Supra A"/>
                <w:sz w:val="26"/>
                <w:szCs w:val="26"/>
              </w:rPr>
              <w:t>/transferred</w:t>
            </w:r>
            <w:r w:rsidR="00B81485"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to the Business Court. </w:t>
            </w:r>
          </w:p>
          <w:p w14:paraId="2E433268" w14:textId="09A06405" w:rsidR="007C520E" w:rsidRPr="00F45F8F" w:rsidRDefault="007C520E" w:rsidP="007C520E">
            <w:pPr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The parties estimate trial is likely to last this many days.</w:t>
            </w:r>
          </w:p>
          <w:p w14:paraId="416643BF" w14:textId="1B8DED32" w:rsidR="00E053DF" w:rsidRPr="00F45F8F" w:rsidRDefault="00E053DF" w:rsidP="007C520E">
            <w:pPr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A reset or continuance of the trial setting does not alter any deadline established by this order.</w:t>
            </w:r>
          </w:p>
        </w:tc>
      </w:tr>
    </w:tbl>
    <w:p w14:paraId="74826DE6" w14:textId="77777777" w:rsidR="00CD5772" w:rsidRDefault="00CD5772" w:rsidP="00CD5772">
      <w:pPr>
        <w:snapToGrid w:val="0"/>
        <w:rPr>
          <w:rFonts w:ascii="Century Supra A" w:hAnsi="Century Supra A"/>
          <w:sz w:val="26"/>
          <w:szCs w:val="26"/>
        </w:rPr>
      </w:pPr>
    </w:p>
    <w:p w14:paraId="4535E4AC" w14:textId="77777777" w:rsidR="000F03D0" w:rsidRPr="000355B8" w:rsidRDefault="000F03D0" w:rsidP="000F03D0">
      <w:pPr>
        <w:spacing w:line="480" w:lineRule="auto"/>
        <w:ind w:left="360"/>
        <w:rPr>
          <w:sz w:val="26"/>
          <w:szCs w:val="26"/>
        </w:rPr>
      </w:pPr>
    </w:p>
    <w:p w14:paraId="3F9276B9" w14:textId="77777777" w:rsidR="000F03D0" w:rsidRPr="000355B8" w:rsidRDefault="000F03D0" w:rsidP="000F03D0">
      <w:pPr>
        <w:spacing w:line="480" w:lineRule="auto"/>
        <w:ind w:left="360"/>
        <w:rPr>
          <w:sz w:val="26"/>
          <w:szCs w:val="26"/>
        </w:rPr>
      </w:pPr>
      <w:r w:rsidRPr="000355B8">
        <w:rPr>
          <w:sz w:val="26"/>
          <w:szCs w:val="26"/>
        </w:rPr>
        <w:t>SIGNED this ____day of _____________.</w:t>
      </w:r>
    </w:p>
    <w:p w14:paraId="70E161AF" w14:textId="77777777" w:rsidR="000F03D0" w:rsidRPr="000355B8" w:rsidRDefault="000F03D0" w:rsidP="000F03D0">
      <w:pPr>
        <w:spacing w:after="0"/>
        <w:ind w:left="4680"/>
        <w:rPr>
          <w:sz w:val="26"/>
          <w:szCs w:val="26"/>
        </w:rPr>
      </w:pPr>
    </w:p>
    <w:p w14:paraId="116D658C" w14:textId="77777777" w:rsidR="000F03D0" w:rsidRPr="000355B8" w:rsidRDefault="000F03D0" w:rsidP="000F03D0">
      <w:pPr>
        <w:spacing w:after="0"/>
        <w:ind w:left="4680"/>
        <w:rPr>
          <w:sz w:val="26"/>
          <w:szCs w:val="26"/>
        </w:rPr>
      </w:pPr>
      <w:r w:rsidRPr="000355B8">
        <w:rPr>
          <w:sz w:val="26"/>
          <w:szCs w:val="26"/>
        </w:rPr>
        <w:t>_______________</w:t>
      </w:r>
      <w:r>
        <w:rPr>
          <w:sz w:val="26"/>
          <w:szCs w:val="26"/>
        </w:rPr>
        <w:t>____</w:t>
      </w:r>
      <w:r w:rsidRPr="000355B8">
        <w:rPr>
          <w:sz w:val="26"/>
          <w:szCs w:val="26"/>
        </w:rPr>
        <w:t>______________</w:t>
      </w:r>
    </w:p>
    <w:p w14:paraId="2CDD5FC9" w14:textId="77777777" w:rsidR="000F03D0" w:rsidRDefault="000F03D0" w:rsidP="000F03D0">
      <w:pPr>
        <w:spacing w:after="0"/>
        <w:ind w:left="4680"/>
        <w:rPr>
          <w:sz w:val="26"/>
          <w:szCs w:val="26"/>
        </w:rPr>
      </w:pPr>
      <w:r w:rsidRPr="000355B8">
        <w:rPr>
          <w:sz w:val="26"/>
          <w:szCs w:val="26"/>
        </w:rPr>
        <w:t xml:space="preserve">Judge, Texas Business Court, </w:t>
      </w:r>
    </w:p>
    <w:p w14:paraId="43B07723" w14:textId="77777777" w:rsidR="000F03D0" w:rsidRPr="000355B8" w:rsidRDefault="000F03D0" w:rsidP="000F03D0">
      <w:pPr>
        <w:spacing w:after="0"/>
        <w:ind w:left="4680"/>
        <w:rPr>
          <w:sz w:val="26"/>
          <w:szCs w:val="26"/>
        </w:rPr>
      </w:pPr>
      <w:r w:rsidRPr="000355B8">
        <w:rPr>
          <w:sz w:val="26"/>
          <w:szCs w:val="26"/>
        </w:rPr>
        <w:t>Eighth Division</w:t>
      </w:r>
    </w:p>
    <w:p w14:paraId="63D760BD" w14:textId="77777777" w:rsidR="000F03D0" w:rsidRPr="000355B8" w:rsidRDefault="000F03D0" w:rsidP="000F03D0">
      <w:pPr>
        <w:spacing w:line="480" w:lineRule="auto"/>
        <w:ind w:left="360"/>
        <w:rPr>
          <w:sz w:val="26"/>
          <w:szCs w:val="26"/>
        </w:rPr>
      </w:pPr>
    </w:p>
    <w:p w14:paraId="58A7297F" w14:textId="77777777" w:rsidR="000F03D0" w:rsidRPr="000355B8" w:rsidRDefault="000F03D0" w:rsidP="000F03D0">
      <w:pPr>
        <w:spacing w:line="480" w:lineRule="auto"/>
        <w:ind w:left="360"/>
        <w:rPr>
          <w:sz w:val="26"/>
          <w:szCs w:val="26"/>
        </w:rPr>
      </w:pPr>
      <w:r w:rsidRPr="000355B8">
        <w:rPr>
          <w:sz w:val="26"/>
          <w:szCs w:val="26"/>
        </w:rPr>
        <w:t>[Signature blocks for counsel]</w:t>
      </w:r>
    </w:p>
    <w:p w14:paraId="39EFF279" w14:textId="77777777" w:rsidR="000F03D0" w:rsidRPr="00F45F8F" w:rsidRDefault="000F03D0" w:rsidP="00CD5772">
      <w:pPr>
        <w:snapToGrid w:val="0"/>
        <w:rPr>
          <w:rFonts w:ascii="Century Supra A" w:hAnsi="Century Supra A"/>
          <w:sz w:val="26"/>
          <w:szCs w:val="26"/>
        </w:rPr>
      </w:pPr>
    </w:p>
    <w:sectPr w:rsidR="000F03D0" w:rsidRPr="00F45F8F" w:rsidSect="00E97602"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12C98" w14:textId="77777777" w:rsidR="00B710DA" w:rsidRDefault="00B710DA" w:rsidP="00346A65">
      <w:r>
        <w:separator/>
      </w:r>
    </w:p>
  </w:endnote>
  <w:endnote w:type="continuationSeparator" w:id="0">
    <w:p w14:paraId="01415104" w14:textId="77777777" w:rsidR="00B710DA" w:rsidRDefault="00B710DA" w:rsidP="0034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upra A">
    <w:panose1 w:val="020104010101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39A2" w14:textId="77777777" w:rsidR="00E97602" w:rsidRDefault="00E97602" w:rsidP="00E976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860C967" w14:textId="77777777" w:rsidR="00E97602" w:rsidRDefault="00E97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32BC7" w14:textId="77777777" w:rsidR="00E97602" w:rsidRPr="00E97602" w:rsidRDefault="00E97602" w:rsidP="00E97602">
    <w:pPr>
      <w:pStyle w:val="Footer"/>
      <w:framePr w:wrap="none" w:vAnchor="text" w:hAnchor="margin" w:xAlign="center" w:y="1"/>
      <w:rPr>
        <w:rStyle w:val="PageNumber"/>
        <w:sz w:val="24"/>
        <w:szCs w:val="24"/>
      </w:rPr>
    </w:pPr>
    <w:r w:rsidRPr="00E97602">
      <w:rPr>
        <w:rStyle w:val="PageNumber"/>
        <w:sz w:val="24"/>
        <w:szCs w:val="24"/>
      </w:rPr>
      <w:fldChar w:fldCharType="begin"/>
    </w:r>
    <w:r w:rsidRPr="00E97602">
      <w:rPr>
        <w:rStyle w:val="PageNumber"/>
        <w:sz w:val="24"/>
        <w:szCs w:val="24"/>
      </w:rPr>
      <w:instrText xml:space="preserve"> PAGE </w:instrText>
    </w:r>
    <w:r w:rsidRPr="00E97602">
      <w:rPr>
        <w:rStyle w:val="PageNumber"/>
        <w:sz w:val="24"/>
        <w:szCs w:val="24"/>
      </w:rPr>
      <w:fldChar w:fldCharType="separate"/>
    </w:r>
    <w:r w:rsidRPr="00E97602">
      <w:rPr>
        <w:rStyle w:val="PageNumber"/>
        <w:noProof/>
        <w:sz w:val="24"/>
        <w:szCs w:val="24"/>
      </w:rPr>
      <w:t>1</w:t>
    </w:r>
    <w:r w:rsidRPr="00E97602">
      <w:rPr>
        <w:rStyle w:val="PageNumber"/>
        <w:sz w:val="24"/>
        <w:szCs w:val="24"/>
      </w:rPr>
      <w:fldChar w:fldCharType="end"/>
    </w:r>
  </w:p>
  <w:p w14:paraId="67034EE0" w14:textId="77777777" w:rsidR="00E97602" w:rsidRDefault="00E97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EFB1A" w14:textId="77777777" w:rsidR="00B710DA" w:rsidRDefault="00B710DA" w:rsidP="00346A65">
      <w:r>
        <w:separator/>
      </w:r>
    </w:p>
  </w:footnote>
  <w:footnote w:type="continuationSeparator" w:id="0">
    <w:p w14:paraId="3766F5CF" w14:textId="77777777" w:rsidR="00B710DA" w:rsidRDefault="00B710DA" w:rsidP="0034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2BC"/>
    <w:multiLevelType w:val="hybridMultilevel"/>
    <w:tmpl w:val="B3347D62"/>
    <w:lvl w:ilvl="0" w:tplc="A8D6996E">
      <w:numFmt w:val="bullet"/>
      <w:lvlText w:val=""/>
      <w:lvlJc w:val="left"/>
      <w:pPr>
        <w:tabs>
          <w:tab w:val="num" w:pos="7155"/>
        </w:tabs>
        <w:ind w:left="7155" w:hanging="211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37D6ED5"/>
    <w:multiLevelType w:val="hybridMultilevel"/>
    <w:tmpl w:val="67743712"/>
    <w:lvl w:ilvl="0" w:tplc="606EB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7702"/>
    <w:multiLevelType w:val="hybridMultilevel"/>
    <w:tmpl w:val="91B433A0"/>
    <w:lvl w:ilvl="0" w:tplc="2A2E9890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D524B"/>
    <w:multiLevelType w:val="hybridMultilevel"/>
    <w:tmpl w:val="BB42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5BAB"/>
    <w:multiLevelType w:val="singleLevel"/>
    <w:tmpl w:val="CE08B140"/>
    <w:lvl w:ilvl="0">
      <w:start w:val="1"/>
      <w:numFmt w:val="lowerLetter"/>
      <w:lvlText w:val="(%1)"/>
      <w:legacy w:legacy="1" w:legacySpace="0" w:legacyIndent="1564"/>
      <w:lvlJc w:val="left"/>
      <w:rPr>
        <w:rFonts w:ascii="Times New Roman" w:hAnsi="Times New Roman" w:hint="default"/>
      </w:rPr>
    </w:lvl>
  </w:abstractNum>
  <w:abstractNum w:abstractNumId="5" w15:restartNumberingAfterBreak="0">
    <w:nsid w:val="1B891F8F"/>
    <w:multiLevelType w:val="hybridMultilevel"/>
    <w:tmpl w:val="BAC0EF20"/>
    <w:lvl w:ilvl="0" w:tplc="D7649F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F2F77"/>
    <w:multiLevelType w:val="singleLevel"/>
    <w:tmpl w:val="58A6620C"/>
    <w:lvl w:ilvl="0">
      <w:start w:val="1"/>
      <w:numFmt w:val="lowerLetter"/>
      <w:lvlText w:val="(%1)"/>
      <w:legacy w:legacy="1" w:legacySpace="0" w:legacyIndent="1570"/>
      <w:lvlJc w:val="left"/>
      <w:rPr>
        <w:rFonts w:ascii="Times New Roman" w:hAnsi="Times New Roman" w:hint="default"/>
      </w:rPr>
    </w:lvl>
  </w:abstractNum>
  <w:abstractNum w:abstractNumId="7" w15:restartNumberingAfterBreak="0">
    <w:nsid w:val="294D3048"/>
    <w:multiLevelType w:val="hybridMultilevel"/>
    <w:tmpl w:val="FEDCEC14"/>
    <w:lvl w:ilvl="0" w:tplc="606EB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35AD"/>
    <w:multiLevelType w:val="singleLevel"/>
    <w:tmpl w:val="DC3A4B40"/>
    <w:lvl w:ilvl="0">
      <w:start w:val="8"/>
      <w:numFmt w:val="decimal"/>
      <w:lvlText w:val="%1."/>
      <w:legacy w:legacy="1" w:legacySpace="0" w:legacyIndent="1527"/>
      <w:lvlJc w:val="left"/>
      <w:rPr>
        <w:rFonts w:ascii="Times New Roman" w:hAnsi="Times New Roman" w:hint="default"/>
      </w:rPr>
    </w:lvl>
  </w:abstractNum>
  <w:abstractNum w:abstractNumId="9" w15:restartNumberingAfterBreak="0">
    <w:nsid w:val="39B93CD8"/>
    <w:multiLevelType w:val="hybridMultilevel"/>
    <w:tmpl w:val="D17C376A"/>
    <w:lvl w:ilvl="0" w:tplc="606EB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D64E2"/>
    <w:multiLevelType w:val="hybridMultilevel"/>
    <w:tmpl w:val="6402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16319"/>
    <w:multiLevelType w:val="singleLevel"/>
    <w:tmpl w:val="0DCA6CAA"/>
    <w:lvl w:ilvl="0">
      <w:start w:val="1"/>
      <w:numFmt w:val="lowerLetter"/>
      <w:lvlText w:val="(%1)"/>
      <w:legacy w:legacy="1" w:legacySpace="0" w:legacyIndent="1569"/>
      <w:lvlJc w:val="left"/>
      <w:rPr>
        <w:rFonts w:ascii="Times New Roman" w:hAnsi="Times New Roman" w:hint="default"/>
      </w:rPr>
    </w:lvl>
  </w:abstractNum>
  <w:abstractNum w:abstractNumId="12" w15:restartNumberingAfterBreak="0">
    <w:nsid w:val="48B76B38"/>
    <w:multiLevelType w:val="hybridMultilevel"/>
    <w:tmpl w:val="772EA5CE"/>
    <w:lvl w:ilvl="0" w:tplc="817C0EE2">
      <w:start w:val="2"/>
      <w:numFmt w:val="lowerLetter"/>
      <w:lvlText w:val="(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E7275"/>
    <w:multiLevelType w:val="hybridMultilevel"/>
    <w:tmpl w:val="262E3052"/>
    <w:lvl w:ilvl="0" w:tplc="606EB5A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C1952"/>
    <w:multiLevelType w:val="singleLevel"/>
    <w:tmpl w:val="47D6467C"/>
    <w:lvl w:ilvl="0">
      <w:start w:val="1"/>
      <w:numFmt w:val="lowerLetter"/>
      <w:lvlText w:val="(%1)"/>
      <w:legacy w:legacy="1" w:legacySpace="0" w:legacyIndent="1527"/>
      <w:lvlJc w:val="left"/>
      <w:rPr>
        <w:rFonts w:ascii="Times New Roman" w:hAnsi="Times New Roman" w:hint="default"/>
      </w:rPr>
    </w:lvl>
  </w:abstractNum>
  <w:abstractNum w:abstractNumId="15" w15:restartNumberingAfterBreak="0">
    <w:nsid w:val="7AD522FE"/>
    <w:multiLevelType w:val="hybridMultilevel"/>
    <w:tmpl w:val="10B0AB42"/>
    <w:lvl w:ilvl="0" w:tplc="98F0BDA6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05D8A"/>
    <w:multiLevelType w:val="hybridMultilevel"/>
    <w:tmpl w:val="CC36EA74"/>
    <w:lvl w:ilvl="0" w:tplc="F10E4E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09263">
    <w:abstractNumId w:val="4"/>
  </w:num>
  <w:num w:numId="2" w16cid:durableId="914627017">
    <w:abstractNumId w:val="11"/>
  </w:num>
  <w:num w:numId="3" w16cid:durableId="1938367401">
    <w:abstractNumId w:val="6"/>
  </w:num>
  <w:num w:numId="4" w16cid:durableId="1091118789">
    <w:abstractNumId w:val="6"/>
    <w:lvlOverride w:ilvl="0">
      <w:lvl w:ilvl="0">
        <w:start w:val="1"/>
        <w:numFmt w:val="lowerLetter"/>
        <w:lvlText w:val="(%1)"/>
        <w:legacy w:legacy="1" w:legacySpace="0" w:legacyIndent="1569"/>
        <w:lvlJc w:val="left"/>
        <w:rPr>
          <w:rFonts w:ascii="Times New Roman" w:hAnsi="Times New Roman" w:hint="default"/>
        </w:rPr>
      </w:lvl>
    </w:lvlOverride>
  </w:num>
  <w:num w:numId="5" w16cid:durableId="2140802256">
    <w:abstractNumId w:val="14"/>
  </w:num>
  <w:num w:numId="6" w16cid:durableId="959727471">
    <w:abstractNumId w:val="8"/>
  </w:num>
  <w:num w:numId="7" w16cid:durableId="899947106">
    <w:abstractNumId w:val="0"/>
  </w:num>
  <w:num w:numId="8" w16cid:durableId="1407262012">
    <w:abstractNumId w:val="12"/>
  </w:num>
  <w:num w:numId="9" w16cid:durableId="1050494289">
    <w:abstractNumId w:val="10"/>
  </w:num>
  <w:num w:numId="10" w16cid:durableId="34237264">
    <w:abstractNumId w:val="16"/>
  </w:num>
  <w:num w:numId="11" w16cid:durableId="694775154">
    <w:abstractNumId w:val="13"/>
  </w:num>
  <w:num w:numId="12" w16cid:durableId="2082746846">
    <w:abstractNumId w:val="5"/>
  </w:num>
  <w:num w:numId="13" w16cid:durableId="1524246046">
    <w:abstractNumId w:val="3"/>
  </w:num>
  <w:num w:numId="14" w16cid:durableId="184945566">
    <w:abstractNumId w:val="1"/>
  </w:num>
  <w:num w:numId="15" w16cid:durableId="1287858270">
    <w:abstractNumId w:val="9"/>
  </w:num>
  <w:num w:numId="16" w16cid:durableId="1743599615">
    <w:abstractNumId w:val="15"/>
  </w:num>
  <w:num w:numId="17" w16cid:durableId="1572354216">
    <w:abstractNumId w:val="7"/>
  </w:num>
  <w:num w:numId="18" w16cid:durableId="1384208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AwMjC2NDU3tDA1MDBV0lEKTi0uzszPAykwqgUAClv5oiwAAAA="/>
  </w:docVars>
  <w:rsids>
    <w:rsidRoot w:val="00BA713F"/>
    <w:rsid w:val="00006CC4"/>
    <w:rsid w:val="000564AD"/>
    <w:rsid w:val="00063C69"/>
    <w:rsid w:val="0006573E"/>
    <w:rsid w:val="00066EAB"/>
    <w:rsid w:val="000750FB"/>
    <w:rsid w:val="00085838"/>
    <w:rsid w:val="00095514"/>
    <w:rsid w:val="000A5848"/>
    <w:rsid w:val="000E2EBA"/>
    <w:rsid w:val="000F03D0"/>
    <w:rsid w:val="001131F3"/>
    <w:rsid w:val="001203FD"/>
    <w:rsid w:val="00132059"/>
    <w:rsid w:val="00142589"/>
    <w:rsid w:val="00155E22"/>
    <w:rsid w:val="00162109"/>
    <w:rsid w:val="00166927"/>
    <w:rsid w:val="001A11BD"/>
    <w:rsid w:val="001A50CC"/>
    <w:rsid w:val="001B5E8A"/>
    <w:rsid w:val="001C1380"/>
    <w:rsid w:val="001C2CC6"/>
    <w:rsid w:val="001C3D8F"/>
    <w:rsid w:val="001D5247"/>
    <w:rsid w:val="001D70BA"/>
    <w:rsid w:val="001F1A7E"/>
    <w:rsid w:val="001F2C0B"/>
    <w:rsid w:val="001F47C5"/>
    <w:rsid w:val="001F4E72"/>
    <w:rsid w:val="001F6188"/>
    <w:rsid w:val="00207592"/>
    <w:rsid w:val="00215032"/>
    <w:rsid w:val="00223536"/>
    <w:rsid w:val="00225E43"/>
    <w:rsid w:val="00226C17"/>
    <w:rsid w:val="00250BCD"/>
    <w:rsid w:val="00251636"/>
    <w:rsid w:val="0026339C"/>
    <w:rsid w:val="0026437C"/>
    <w:rsid w:val="002678FC"/>
    <w:rsid w:val="00272DEF"/>
    <w:rsid w:val="002746F0"/>
    <w:rsid w:val="00274F03"/>
    <w:rsid w:val="002768F2"/>
    <w:rsid w:val="00290A2E"/>
    <w:rsid w:val="00297BA4"/>
    <w:rsid w:val="00297F17"/>
    <w:rsid w:val="002B113F"/>
    <w:rsid w:val="002B6C95"/>
    <w:rsid w:val="002C41C5"/>
    <w:rsid w:val="002E1DA9"/>
    <w:rsid w:val="002E7538"/>
    <w:rsid w:val="002E7AB6"/>
    <w:rsid w:val="002F0117"/>
    <w:rsid w:val="002F16B3"/>
    <w:rsid w:val="002F5911"/>
    <w:rsid w:val="00346A65"/>
    <w:rsid w:val="0036309E"/>
    <w:rsid w:val="0037197F"/>
    <w:rsid w:val="00375473"/>
    <w:rsid w:val="003759B9"/>
    <w:rsid w:val="003813D0"/>
    <w:rsid w:val="00387563"/>
    <w:rsid w:val="0039340C"/>
    <w:rsid w:val="003A0FCD"/>
    <w:rsid w:val="003D08DD"/>
    <w:rsid w:val="003E208F"/>
    <w:rsid w:val="00411AF2"/>
    <w:rsid w:val="00423E4A"/>
    <w:rsid w:val="00452097"/>
    <w:rsid w:val="00454C23"/>
    <w:rsid w:val="00471F43"/>
    <w:rsid w:val="00480A18"/>
    <w:rsid w:val="00485D63"/>
    <w:rsid w:val="004A54D8"/>
    <w:rsid w:val="004A788E"/>
    <w:rsid w:val="004B400A"/>
    <w:rsid w:val="004C23BA"/>
    <w:rsid w:val="004D1916"/>
    <w:rsid w:val="004D6F3B"/>
    <w:rsid w:val="004D6F48"/>
    <w:rsid w:val="004F7F54"/>
    <w:rsid w:val="00511C94"/>
    <w:rsid w:val="00530985"/>
    <w:rsid w:val="00534E50"/>
    <w:rsid w:val="00593E66"/>
    <w:rsid w:val="005B69B4"/>
    <w:rsid w:val="005B77B4"/>
    <w:rsid w:val="005D006F"/>
    <w:rsid w:val="005E0CD7"/>
    <w:rsid w:val="005F5666"/>
    <w:rsid w:val="00601330"/>
    <w:rsid w:val="0060657A"/>
    <w:rsid w:val="00616D8B"/>
    <w:rsid w:val="00630B53"/>
    <w:rsid w:val="00650183"/>
    <w:rsid w:val="00667ACE"/>
    <w:rsid w:val="00675D1D"/>
    <w:rsid w:val="00680129"/>
    <w:rsid w:val="00690071"/>
    <w:rsid w:val="00695DAF"/>
    <w:rsid w:val="00697B94"/>
    <w:rsid w:val="006A0D7A"/>
    <w:rsid w:val="006B56B5"/>
    <w:rsid w:val="00700DE9"/>
    <w:rsid w:val="00700F18"/>
    <w:rsid w:val="00722ED6"/>
    <w:rsid w:val="00734AD6"/>
    <w:rsid w:val="007409BD"/>
    <w:rsid w:val="007542D4"/>
    <w:rsid w:val="007557B5"/>
    <w:rsid w:val="007675BE"/>
    <w:rsid w:val="007A6C3E"/>
    <w:rsid w:val="007B4FE0"/>
    <w:rsid w:val="007C520E"/>
    <w:rsid w:val="007C7C52"/>
    <w:rsid w:val="007D2679"/>
    <w:rsid w:val="007F3CE9"/>
    <w:rsid w:val="00811720"/>
    <w:rsid w:val="008200EC"/>
    <w:rsid w:val="00833680"/>
    <w:rsid w:val="00851C3C"/>
    <w:rsid w:val="0085255C"/>
    <w:rsid w:val="00867432"/>
    <w:rsid w:val="00880575"/>
    <w:rsid w:val="0088268C"/>
    <w:rsid w:val="008B411F"/>
    <w:rsid w:val="008B6B16"/>
    <w:rsid w:val="008C7F57"/>
    <w:rsid w:val="008F39A4"/>
    <w:rsid w:val="009030CC"/>
    <w:rsid w:val="00904E79"/>
    <w:rsid w:val="00912F3B"/>
    <w:rsid w:val="00920C2B"/>
    <w:rsid w:val="00923DC9"/>
    <w:rsid w:val="00931F96"/>
    <w:rsid w:val="009409A4"/>
    <w:rsid w:val="009438C6"/>
    <w:rsid w:val="00981569"/>
    <w:rsid w:val="009845A6"/>
    <w:rsid w:val="009D2289"/>
    <w:rsid w:val="009D6213"/>
    <w:rsid w:val="009D71BE"/>
    <w:rsid w:val="009F15AA"/>
    <w:rsid w:val="009F385C"/>
    <w:rsid w:val="00A26FD9"/>
    <w:rsid w:val="00A403D8"/>
    <w:rsid w:val="00A424BD"/>
    <w:rsid w:val="00A574E6"/>
    <w:rsid w:val="00A62CA7"/>
    <w:rsid w:val="00A83CA1"/>
    <w:rsid w:val="00A87397"/>
    <w:rsid w:val="00A92256"/>
    <w:rsid w:val="00A93DC5"/>
    <w:rsid w:val="00AA7662"/>
    <w:rsid w:val="00AB3572"/>
    <w:rsid w:val="00AD04EB"/>
    <w:rsid w:val="00AD5D56"/>
    <w:rsid w:val="00AF340D"/>
    <w:rsid w:val="00AF707B"/>
    <w:rsid w:val="00AF70E8"/>
    <w:rsid w:val="00B127E0"/>
    <w:rsid w:val="00B16448"/>
    <w:rsid w:val="00B326BA"/>
    <w:rsid w:val="00B42230"/>
    <w:rsid w:val="00B43CE2"/>
    <w:rsid w:val="00B64AB4"/>
    <w:rsid w:val="00B65C75"/>
    <w:rsid w:val="00B66B1B"/>
    <w:rsid w:val="00B710DA"/>
    <w:rsid w:val="00B81485"/>
    <w:rsid w:val="00B8787A"/>
    <w:rsid w:val="00B9178B"/>
    <w:rsid w:val="00B94F01"/>
    <w:rsid w:val="00BA713F"/>
    <w:rsid w:val="00BB6189"/>
    <w:rsid w:val="00BC19D2"/>
    <w:rsid w:val="00BD3095"/>
    <w:rsid w:val="00BD59FD"/>
    <w:rsid w:val="00BF064E"/>
    <w:rsid w:val="00BF1979"/>
    <w:rsid w:val="00C312E6"/>
    <w:rsid w:val="00C4411B"/>
    <w:rsid w:val="00C44CFE"/>
    <w:rsid w:val="00C66420"/>
    <w:rsid w:val="00C72910"/>
    <w:rsid w:val="00C73FCB"/>
    <w:rsid w:val="00CA0396"/>
    <w:rsid w:val="00CA34F6"/>
    <w:rsid w:val="00CA635A"/>
    <w:rsid w:val="00CB2129"/>
    <w:rsid w:val="00CC19BC"/>
    <w:rsid w:val="00CD5772"/>
    <w:rsid w:val="00CF5500"/>
    <w:rsid w:val="00D0011E"/>
    <w:rsid w:val="00D01994"/>
    <w:rsid w:val="00D2433C"/>
    <w:rsid w:val="00D413B8"/>
    <w:rsid w:val="00D47F4D"/>
    <w:rsid w:val="00D5001C"/>
    <w:rsid w:val="00D5294A"/>
    <w:rsid w:val="00D559B3"/>
    <w:rsid w:val="00D87AB4"/>
    <w:rsid w:val="00D94CED"/>
    <w:rsid w:val="00DB30E6"/>
    <w:rsid w:val="00DB3F2C"/>
    <w:rsid w:val="00DC1FA3"/>
    <w:rsid w:val="00DC2A94"/>
    <w:rsid w:val="00DC6C6E"/>
    <w:rsid w:val="00DD393D"/>
    <w:rsid w:val="00DE2F4C"/>
    <w:rsid w:val="00DF591D"/>
    <w:rsid w:val="00DF73E1"/>
    <w:rsid w:val="00E053DF"/>
    <w:rsid w:val="00E12586"/>
    <w:rsid w:val="00E15FA8"/>
    <w:rsid w:val="00E1784D"/>
    <w:rsid w:val="00E26DF9"/>
    <w:rsid w:val="00E329AF"/>
    <w:rsid w:val="00E345D4"/>
    <w:rsid w:val="00E4476B"/>
    <w:rsid w:val="00E534FE"/>
    <w:rsid w:val="00E535B0"/>
    <w:rsid w:val="00E66749"/>
    <w:rsid w:val="00E67A92"/>
    <w:rsid w:val="00E74C73"/>
    <w:rsid w:val="00E96B03"/>
    <w:rsid w:val="00E97602"/>
    <w:rsid w:val="00ED3037"/>
    <w:rsid w:val="00EE66A1"/>
    <w:rsid w:val="00EE708A"/>
    <w:rsid w:val="00EE7307"/>
    <w:rsid w:val="00F1086E"/>
    <w:rsid w:val="00F1496A"/>
    <w:rsid w:val="00F2009F"/>
    <w:rsid w:val="00F40902"/>
    <w:rsid w:val="00F45F8F"/>
    <w:rsid w:val="00F53213"/>
    <w:rsid w:val="00F57684"/>
    <w:rsid w:val="00F620EA"/>
    <w:rsid w:val="00F64861"/>
    <w:rsid w:val="00F650E8"/>
    <w:rsid w:val="00F75FF5"/>
    <w:rsid w:val="00F77EB1"/>
    <w:rsid w:val="00F8366F"/>
    <w:rsid w:val="00FB73F7"/>
    <w:rsid w:val="00FC4506"/>
    <w:rsid w:val="00FD6EFD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8864B"/>
  <w15:chartTrackingRefBased/>
  <w15:docId w15:val="{34F810A2-A885-46F9-83B7-B94C7FC4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B9"/>
    <w:pPr>
      <w:widowControl w:val="0"/>
      <w:autoSpaceDE w:val="0"/>
      <w:autoSpaceDN w:val="0"/>
      <w:adjustRightInd w:val="0"/>
      <w:spacing w:after="120"/>
      <w:jc w:val="both"/>
    </w:pPr>
    <w:rPr>
      <w:rFonts w:ascii="Century Schoolbook" w:hAnsi="Century Schoolbook"/>
      <w:sz w:val="28"/>
    </w:rPr>
  </w:style>
  <w:style w:type="paragraph" w:styleId="Heading1">
    <w:name w:val="heading 1"/>
    <w:basedOn w:val="Normal"/>
    <w:next w:val="Normal"/>
    <w:qFormat/>
    <w:rsid w:val="00FC4506"/>
    <w:pPr>
      <w:keepNext/>
      <w:numPr>
        <w:numId w:val="18"/>
      </w:numPr>
      <w:ind w:hanging="720"/>
      <w:outlineLvl w:val="0"/>
    </w:pPr>
    <w:rPr>
      <w:b/>
      <w:bCs/>
      <w:color w:val="000000"/>
      <w:spacing w:val="3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9B9"/>
    <w:pPr>
      <w:keepNext/>
      <w:widowControl/>
      <w:snapToGrid w:val="0"/>
      <w:spacing w:before="120"/>
      <w:outlineLvl w:val="1"/>
    </w:pPr>
    <w:rPr>
      <w:rFonts w:eastAsia="Calibri"/>
      <w:b/>
      <w:bCs/>
      <w:color w:val="000000"/>
      <w:spacing w:val="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46A6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6A65"/>
  </w:style>
  <w:style w:type="character" w:styleId="FootnoteReference">
    <w:name w:val="footnote reference"/>
    <w:uiPriority w:val="99"/>
    <w:semiHidden/>
    <w:unhideWhenUsed/>
    <w:rsid w:val="00346A6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97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602"/>
  </w:style>
  <w:style w:type="character" w:styleId="PageNumber">
    <w:name w:val="page number"/>
    <w:basedOn w:val="DefaultParagraphFont"/>
    <w:uiPriority w:val="99"/>
    <w:semiHidden/>
    <w:unhideWhenUsed/>
    <w:rsid w:val="00E97602"/>
  </w:style>
  <w:style w:type="paragraph" w:styleId="Header">
    <w:name w:val="header"/>
    <w:basedOn w:val="Normal"/>
    <w:link w:val="HeaderChar"/>
    <w:uiPriority w:val="99"/>
    <w:unhideWhenUsed/>
    <w:rsid w:val="00E97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602"/>
  </w:style>
  <w:style w:type="table" w:styleId="TableGrid">
    <w:name w:val="Table Grid"/>
    <w:basedOn w:val="TableNormal"/>
    <w:uiPriority w:val="39"/>
    <w:rsid w:val="004D6F4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4D6F48"/>
  </w:style>
  <w:style w:type="character" w:customStyle="1" w:styleId="Heading2Char">
    <w:name w:val="Heading 2 Char"/>
    <w:link w:val="Heading2"/>
    <w:uiPriority w:val="9"/>
    <w:rsid w:val="003759B9"/>
    <w:rPr>
      <w:rFonts w:ascii="Century Schoolbook" w:eastAsia="Calibri" w:hAnsi="Century Schoolbook"/>
      <w:b/>
      <w:bCs/>
      <w:color w:val="000000"/>
      <w:spacing w:val="6"/>
      <w:sz w:val="28"/>
      <w:szCs w:val="28"/>
    </w:rPr>
  </w:style>
  <w:style w:type="paragraph" w:styleId="Revision">
    <w:name w:val="Revision"/>
    <w:hidden/>
    <w:uiPriority w:val="99"/>
    <w:semiHidden/>
    <w:rsid w:val="002F0117"/>
    <w:rPr>
      <w:rFonts w:ascii="Century Schoolbook" w:hAnsi="Century Schoolbook"/>
      <w:sz w:val="28"/>
    </w:rPr>
  </w:style>
  <w:style w:type="character" w:styleId="CommentReference">
    <w:name w:val="annotation reference"/>
    <w:uiPriority w:val="99"/>
    <w:semiHidden/>
    <w:unhideWhenUsed/>
    <w:rsid w:val="002F0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117"/>
    <w:rPr>
      <w:sz w:val="20"/>
    </w:rPr>
  </w:style>
  <w:style w:type="character" w:customStyle="1" w:styleId="CommentTextChar">
    <w:name w:val="Comment Text Char"/>
    <w:link w:val="CommentText"/>
    <w:uiPriority w:val="99"/>
    <w:rsid w:val="002F0117"/>
    <w:rPr>
      <w:rFonts w:ascii="Century Schoolbook" w:hAnsi="Century School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1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0117"/>
    <w:rPr>
      <w:rFonts w:ascii="Century Schoolbook" w:hAnsi="Century Schoolboo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4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6847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Courts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Charles Eldred</cp:lastModifiedBy>
  <cp:revision>2</cp:revision>
  <cp:lastPrinted>2024-09-27T15:59:00Z</cp:lastPrinted>
  <dcterms:created xsi:type="dcterms:W3CDTF">2025-08-19T21:00:00Z</dcterms:created>
  <dcterms:modified xsi:type="dcterms:W3CDTF">2025-08-19T21:00:00Z</dcterms:modified>
</cp:coreProperties>
</file>